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80"/>
      </w:pPr>
      <w:r>
        <w:drawing>
          <wp:inline xmlns:a="http://schemas.openxmlformats.org/drawingml/2006/main" xmlns:pic="http://schemas.openxmlformats.org/drawingml/2006/picture">
            <wp:extent cx="792000" cy="792000"/>
            <wp:docPr id="1" name="Picture 1"/>
            <wp:cNvGraphicFramePr>
              <a:graphicFrameLocks noChangeAspect="1"/>
            </wp:cNvGraphicFramePr>
            <a:graphic>
              <a:graphicData uri="http://schemas.openxmlformats.org/drawingml/2006/picture">
                <pic:pic>
                  <pic:nvPicPr>
                    <pic:cNvPr id="0" name="wrenfield-logo.png"/>
                    <pic:cNvPicPr/>
                  </pic:nvPicPr>
                  <pic:blipFill>
                    <a:blip r:embed="rId12"/>
                    <a:stretch>
                      <a:fillRect/>
                    </a:stretch>
                  </pic:blipFill>
                  <pic:spPr>
                    <a:xfrm>
                      <a:off x="0" y="0"/>
                      <a:ext cx="792000" cy="792000"/>
                    </a:xfrm>
                    <a:prstGeom prst="rect"/>
                  </pic:spPr>
                </pic:pic>
              </a:graphicData>
            </a:graphic>
          </wp:inline>
        </w:drawing>
      </w:r>
    </w:p>
    <w:p>
      <w:pPr>
        <w:spacing w:after="560"/>
      </w:pPr>
      <w:r>
        <w:rPr>
          <w:b/>
          <w:i w:val="0"/>
          <w:color w:val="7A1F2B"/>
          <w:sz w:val="20"/>
        </w:rPr>
        <w:t>WRENFIELD EMPLOYMENT ADVISORY (FICTIONAL)</w:t>
      </w:r>
    </w:p>
    <w:p>
      <w:pPr>
        <w:spacing w:after="120"/>
      </w:pPr>
      <w:r>
        <w:rPr>
          <w:rFonts w:ascii="Georgia" w:hAnsi="Georgia"/>
          <w:b/>
          <w:i w:val="0"/>
          <w:sz w:val="52"/>
        </w:rPr>
        <w:t>Employment law gap analysis</w:t>
      </w:r>
    </w:p>
    <w:p>
      <w:pPr>
        <w:spacing w:after="440"/>
      </w:pPr>
      <w:r>
        <w:rPr>
          <w:rFonts w:ascii="Georgia" w:hAnsi="Georgia"/>
          <w:b w:val="0"/>
          <w:i w:val="0"/>
          <w:color w:val="6B6358"/>
          <w:sz w:val="32"/>
        </w:rPr>
        <w:t>Hollowmere Coffee Roasters Ltd (fictional)</w:t>
      </w:r>
    </w:p>
    <w:tbl>
      <w:tblPr>
        <w:tblW w:type="auto" w:w="0"/>
        <w:jc w:val="left"/>
        <w:tblLook w:firstColumn="1" w:firstRow="1" w:lastColumn="0" w:lastRow="0" w:noHBand="0" w:noVBand="1" w:val="04A0"/>
      </w:tblPr>
      <w:tblGrid>
        <w:gridCol w:w="4706"/>
        <w:gridCol w:w="4706"/>
      </w:tblGrid>
      <w:tr>
        <w:tc>
          <w:tcPr>
            <w:tcW w:type="dxa" w:w="2381"/>
          </w:tcPr>
          <w:p>
            <w:r>
              <w:rPr>
                <w:b w:val="0"/>
                <w:i w:val="0"/>
                <w:color w:val="6B6358"/>
                <w:sz w:val="18"/>
              </w:rPr>
              <w:t>Assessed as at</w:t>
            </w:r>
          </w:p>
        </w:tc>
        <w:tc>
          <w:tcPr>
            <w:tcW w:type="dxa" w:w="6917"/>
          </w:tcPr>
          <w:p>
            <w:r>
              <w:rPr>
                <w:b w:val="0"/>
                <w:i w:val="0"/>
                <w:sz w:val="20"/>
              </w:rPr>
              <w:t>3 October 2026</w:t>
            </w:r>
          </w:p>
        </w:tc>
      </w:tr>
      <w:tr>
        <w:tc>
          <w:tcPr>
            <w:tcW w:type="dxa" w:w="2381"/>
          </w:tcPr>
          <w:p>
            <w:r>
              <w:rPr>
                <w:b w:val="0"/>
                <w:i w:val="0"/>
                <w:color w:val="6B6358"/>
                <w:sz w:val="18"/>
              </w:rPr>
              <w:t>Prepared by</w:t>
            </w:r>
          </w:p>
        </w:tc>
        <w:tc>
          <w:tcPr>
            <w:tcW w:type="dxa" w:w="6917"/>
          </w:tcPr>
          <w:p>
            <w:r>
              <w:rPr>
                <w:b w:val="0"/>
                <w:i w:val="0"/>
                <w:sz w:val="20"/>
              </w:rPr>
              <w:t>Priya Castellane, Principal Employment Consultant</w:t>
            </w:r>
          </w:p>
        </w:tc>
      </w:tr>
      <w:tr>
        <w:tc>
          <w:tcPr>
            <w:tcW w:type="dxa" w:w="2381"/>
          </w:tcPr>
          <w:p>
            <w:r>
              <w:rPr>
                <w:b w:val="0"/>
                <w:i w:val="0"/>
                <w:color w:val="6B6358"/>
                <w:sz w:val="18"/>
              </w:rPr>
              <w:t>Adviser</w:t>
            </w:r>
          </w:p>
        </w:tc>
        <w:tc>
          <w:tcPr>
            <w:tcW w:type="dxa" w:w="6917"/>
          </w:tcPr>
          <w:p>
            <w:r>
              <w:rPr>
                <w:b w:val="0"/>
                <w:i w:val="0"/>
                <w:sz w:val="20"/>
              </w:rPr>
              <w:t>Wrenfield Employment Advisory (fictional)</w:t>
            </w:r>
          </w:p>
        </w:tc>
      </w:tr>
      <w:tr>
        <w:tc>
          <w:tcPr>
            <w:tcW w:type="dxa" w:w="2381"/>
          </w:tcPr>
          <w:p>
            <w:r>
              <w:rPr>
                <w:b w:val="0"/>
                <w:i w:val="0"/>
                <w:color w:val="6B6358"/>
                <w:sz w:val="18"/>
              </w:rPr>
              <w:t>Regime</w:t>
            </w:r>
          </w:p>
        </w:tc>
        <w:tc>
          <w:tcPr>
            <w:tcW w:type="dxa" w:w="6917"/>
          </w:tcPr>
          <w:p>
            <w:r>
              <w:rPr>
                <w:b w:val="0"/>
                <w:i w:val="0"/>
                <w:sz w:val="20"/>
              </w:rPr>
              <w:t>Employment Rights Act 1996, with commenced Employment Rights Act 2025 changes</w:t>
            </w:r>
          </w:p>
        </w:tc>
      </w:tr>
      <w:tr>
        <w:tc>
          <w:tcPr>
            <w:tcW w:type="dxa" w:w="2381"/>
          </w:tcPr>
          <w:p>
            <w:r>
              <w:rPr>
                <w:b w:val="0"/>
                <w:i w:val="0"/>
                <w:color w:val="6B6358"/>
                <w:sz w:val="18"/>
              </w:rPr>
              <w:t>Documents reviewed</w:t>
            </w:r>
          </w:p>
        </w:tc>
        <w:tc>
          <w:tcPr>
            <w:tcW w:type="dxa" w:w="6917"/>
          </w:tcPr>
          <w:p>
            <w:r>
              <w:rPr>
                <w:b w:val="0"/>
                <w:i w:val="0"/>
                <w:sz w:val="20"/>
              </w:rPr>
              <w:t>Hollowmere-Annual-Leave-Records-2026.docx, Hollowmere-Contract-Template.docx, Hollowmere-Employee-Handbook.docx, Hollowmere-Payslip-Template.docx</w:t>
            </w:r>
          </w:p>
        </w:tc>
      </w:tr>
    </w:tbl>
    <w:p>
      <w:pPr>
        <w:spacing w:after="360"/>
      </w:pPr>
    </w:p>
    <w:tbl>
      <w:tblPr>
        <w:tblW w:type="auto" w:w="0"/>
        <w:tblLook w:firstColumn="1" w:firstRow="1" w:lastColumn="0" w:lastRow="0" w:noHBand="0" w:noVBand="1" w:val="04A0"/>
      </w:tblPr>
      <w:tblGrid>
        <w:gridCol w:w="9412"/>
      </w:tblGrid>
      <w:tr>
        <w:tc>
          <w:tcPr>
            <w:tcW w:type="dxa" w:w="9412"/>
            <w:shd w:val="clear" w:color="auto" w:fill="F4EFE6"/>
          </w:tcPr>
          <w:p>
            <w:r>
              <w:rPr>
                <w:b/>
                <w:i w:val="0"/>
                <w:color w:val="7A1F2B"/>
                <w:sz w:val="20"/>
              </w:rPr>
              <w:t>REVIEWED BY THE ADVISER</w:t>
            </w:r>
          </w:p>
          <w:p>
            <w:pPr>
              <w:spacing w:after="40"/>
            </w:pPr>
            <w:r>
              <w:rPr>
                <w:b w:val="0"/>
                <w:i w:val="0"/>
                <w:sz w:val="20"/>
              </w:rPr>
              <w:t>Every finding in this report was reviewed by Priya Castellane, Wrenfield Employment Advisory (fictional). Review completed 14 October 2026.</w:t>
            </w:r>
          </w:p>
          <w:p>
            <w:pPr>
              <w:spacing w:after="40"/>
            </w:pPr>
            <w:r>
              <w:rPr>
                <w:b w:val="0"/>
                <w:i w:val="0"/>
                <w:color w:val="6B6358"/>
                <w:sz w:val="19"/>
              </w:rPr>
              <w:t>19 findings reviewed: 14 accepted as drafted, 4 edited by the adviser, 1 rejected and omitted from this report.</w:t>
            </w:r>
          </w:p>
        </w:tc>
      </w:tr>
    </w:tbl>
    <w:p>
      <w:pPr>
        <w:spacing w:after="360"/>
      </w:pPr>
    </w:p>
    <w:p>
      <w:pPr>
        <w:spacing w:after="80"/>
      </w:pPr>
      <w:r>
        <w:rPr>
          <w:b w:val="0"/>
          <w:i w:val="0"/>
          <w:color w:val="6B6358"/>
          <w:sz w:val="17"/>
        </w:rPr>
        <w:t>This report is decision support prepared with Complian, a product of TLG Systems Ltd (Company No. 17181330, registered in England and Wales), and reviewed by the adviser named above, who is responsible for the advice it contains. It is not legal advice from TLG Systems Ltd. Each legislation quotation was checked word for word against the statutory text, and each client document excerpt against the document supplied. The assessment covers the obligations listed, on the assessment date stated, against the documents listed.</w:t>
      </w:r>
    </w:p>
    <w:p>
      <w:r>
        <w:br w:type="page"/>
      </w:r>
    </w:p>
    <w:p>
      <w:pPr>
        <w:pStyle w:val="Heading1"/>
      </w:pPr>
      <w:r>
        <w:t>Summary</w:t>
      </w:r>
    </w:p>
    <w:p>
      <w:pPr>
        <w:spacing w:after="200"/>
      </w:pPr>
      <w:r>
        <w:rPr>
          <w:b w:val="0"/>
          <w:i w:val="0"/>
        </w:rPr>
        <w:t>18 obligations were assessed against the client's documents. 5 further obligations were excluded on the assessment date; the reasons are set out in the section on excluded obligations.</w:t>
      </w:r>
    </w:p>
    <w:tbl>
      <w:tblPr>
        <w:tblStyle w:val="TableGrid"/>
        <w:tblW w:type="auto" w:w="0"/>
        <w:tblLook w:firstColumn="1" w:firstRow="1" w:lastColumn="0" w:lastRow="0" w:noHBand="0" w:noVBand="1" w:val="04A0"/>
      </w:tblPr>
      <w:tblGrid>
        <w:gridCol w:w="2353"/>
        <w:gridCol w:w="2353"/>
        <w:gridCol w:w="2353"/>
        <w:gridCol w:w="2353"/>
      </w:tblGrid>
      <w:tr>
        <w:tc>
          <w:tcPr>
            <w:tcW w:type="dxa" w:w="2353"/>
            <w:shd w:val="clear" w:color="auto" w:fill="F4EFE6"/>
          </w:tcPr>
          <w:p>
            <w:r>
              <w:rPr>
                <w:b/>
                <w:i w:val="0"/>
                <w:color w:val="9B1C1C"/>
                <w:sz w:val="19"/>
              </w:rPr>
              <w:t>Missing</w:t>
            </w:r>
          </w:p>
        </w:tc>
        <w:tc>
          <w:tcPr>
            <w:tcW w:type="dxa" w:w="2353"/>
            <w:shd w:val="clear" w:color="auto" w:fill="F4EFE6"/>
          </w:tcPr>
          <w:p>
            <w:r>
              <w:rPr>
                <w:b/>
                <w:i w:val="0"/>
                <w:color w:val="A15C07"/>
                <w:sz w:val="19"/>
              </w:rPr>
              <w:t>Partial</w:t>
            </w:r>
          </w:p>
        </w:tc>
        <w:tc>
          <w:tcPr>
            <w:tcW w:type="dxa" w:w="2353"/>
            <w:shd w:val="clear" w:color="auto" w:fill="F4EFE6"/>
          </w:tcPr>
          <w:p>
            <w:r>
              <w:rPr>
                <w:b/>
                <w:i w:val="0"/>
                <w:color w:val="4B5563"/>
                <w:sz w:val="19"/>
              </w:rPr>
              <w:t>Unclear</w:t>
            </w:r>
          </w:p>
        </w:tc>
        <w:tc>
          <w:tcPr>
            <w:tcW w:type="dxa" w:w="2353"/>
            <w:shd w:val="clear" w:color="auto" w:fill="F4EFE6"/>
          </w:tcPr>
          <w:p>
            <w:r>
              <w:rPr>
                <w:b/>
                <w:i w:val="0"/>
                <w:color w:val="1E6B3A"/>
                <w:sz w:val="19"/>
              </w:rPr>
              <w:t>Met</w:t>
            </w:r>
          </w:p>
        </w:tc>
      </w:tr>
      <w:tr>
        <w:tc>
          <w:tcPr>
            <w:tcW w:type="dxa" w:w="2353"/>
          </w:tcPr>
          <w:p>
            <w:r>
              <w:rPr>
                <w:rFonts w:ascii="Georgia" w:hAnsi="Georgia"/>
                <w:b/>
                <w:i w:val="0"/>
                <w:sz w:val="32"/>
              </w:rPr>
              <w:t>6</w:t>
            </w:r>
          </w:p>
        </w:tc>
        <w:tc>
          <w:tcPr>
            <w:tcW w:type="dxa" w:w="2353"/>
          </w:tcPr>
          <w:p>
            <w:r>
              <w:rPr>
                <w:rFonts w:ascii="Georgia" w:hAnsi="Georgia"/>
                <w:b/>
                <w:i w:val="0"/>
                <w:sz w:val="32"/>
              </w:rPr>
              <w:t>10</w:t>
            </w:r>
          </w:p>
        </w:tc>
        <w:tc>
          <w:tcPr>
            <w:tcW w:type="dxa" w:w="2353"/>
          </w:tcPr>
          <w:p>
            <w:r>
              <w:rPr>
                <w:rFonts w:ascii="Georgia" w:hAnsi="Georgia"/>
                <w:b/>
                <w:i w:val="0"/>
                <w:sz w:val="32"/>
              </w:rPr>
              <w:t>0</w:t>
            </w:r>
          </w:p>
        </w:tc>
        <w:tc>
          <w:tcPr>
            <w:tcW w:type="dxa" w:w="2353"/>
          </w:tcPr>
          <w:p>
            <w:r>
              <w:rPr>
                <w:rFonts w:ascii="Georgia" w:hAnsi="Georgia"/>
                <w:b/>
                <w:i w:val="0"/>
                <w:sz w:val="32"/>
              </w:rPr>
              <w:t>2</w:t>
            </w:r>
          </w:p>
        </w:tc>
      </w:tr>
    </w:tbl>
    <w:p>
      <w:pPr>
        <w:spacing w:after="120"/>
      </w:pPr>
    </w:p>
    <w:p>
      <w:pPr>
        <w:pStyle w:val="Heading2"/>
      </w:pPr>
      <w:r>
        <w:t>Where action is needed</w:t>
      </w:r>
    </w:p>
    <w:p>
      <w:pPr>
        <w:spacing w:after="80"/>
      </w:pPr>
      <w:r>
        <w:rPr>
          <w:b w:val="0"/>
          <w:i w:val="0"/>
          <w:color w:val="6B6358"/>
          <w:sz w:val="18"/>
        </w:rPr>
        <w:t>In order of status. Each item is set out in full under Findings.</w:t>
      </w:r>
    </w:p>
    <w:p>
      <w:pPr>
        <w:pStyle w:val="ListBullet"/>
        <w:spacing w:after="20"/>
      </w:pPr>
      <w:r>
        <w:rPr>
          <w:b/>
          <w:i w:val="0"/>
          <w:color w:val="9B1C1C"/>
          <w:sz w:val="19"/>
        </w:rPr>
        <w:t xml:space="preserve">Missing  </w:t>
      </w:r>
      <w:r>
        <w:rPr>
          <w:b w:val="0"/>
          <w:i w:val="0"/>
          <w:sz w:val="19"/>
        </w:rPr>
        <w:t>ERA 1996 / s.55, Right to time off for ante-natal care</w:t>
      </w:r>
    </w:p>
    <w:p>
      <w:pPr>
        <w:pStyle w:val="ListBullet"/>
        <w:spacing w:after="20"/>
      </w:pPr>
      <w:r>
        <w:rPr>
          <w:b/>
          <w:i w:val="0"/>
          <w:color w:val="9B1C1C"/>
          <w:sz w:val="19"/>
        </w:rPr>
        <w:t xml:space="preserve">Missing  </w:t>
      </w:r>
      <w:r>
        <w:rPr>
          <w:b w:val="0"/>
          <w:i w:val="0"/>
          <w:sz w:val="19"/>
        </w:rPr>
        <w:t>ERA 1996 / s.76, Entitlement to parental leave</w:t>
      </w:r>
    </w:p>
    <w:p>
      <w:pPr>
        <w:pStyle w:val="ListBullet"/>
        <w:spacing w:after="20"/>
      </w:pPr>
      <w:r>
        <w:rPr>
          <w:b/>
          <w:i w:val="0"/>
          <w:color w:val="9B1C1C"/>
          <w:sz w:val="19"/>
        </w:rPr>
        <w:t xml:space="preserve">Missing  </w:t>
      </w:r>
      <w:r>
        <w:rPr>
          <w:b w:val="0"/>
          <w:i w:val="0"/>
          <w:sz w:val="19"/>
        </w:rPr>
        <w:t>ERA 1996 / s.80A, Entitlement to  ... paternity leave: birth</w:t>
      </w:r>
    </w:p>
    <w:p>
      <w:pPr>
        <w:pStyle w:val="ListBullet"/>
        <w:spacing w:after="20"/>
      </w:pPr>
      <w:r>
        <w:rPr>
          <w:b/>
          <w:i w:val="0"/>
          <w:color w:val="9B1C1C"/>
          <w:sz w:val="19"/>
        </w:rPr>
        <w:t xml:space="preserve">Missing  </w:t>
      </w:r>
      <w:r>
        <w:rPr>
          <w:b w:val="0"/>
          <w:i w:val="0"/>
          <w:sz w:val="19"/>
        </w:rPr>
        <w:t>ERA 1996 / s.99, Leave for family reasons</w:t>
      </w:r>
    </w:p>
    <w:p>
      <w:pPr>
        <w:pStyle w:val="ListBullet"/>
        <w:spacing w:after="20"/>
      </w:pPr>
      <w:r>
        <w:rPr>
          <w:b/>
          <w:i w:val="0"/>
          <w:color w:val="9B1C1C"/>
          <w:sz w:val="19"/>
        </w:rPr>
        <w:t xml:space="preserve">Missing  </w:t>
      </w:r>
      <w:r>
        <w:rPr>
          <w:b w:val="0"/>
          <w:i w:val="0"/>
          <w:sz w:val="19"/>
        </w:rPr>
        <w:t>SSCBA 1992 / s.152, Period of incapacity for work</w:t>
      </w:r>
    </w:p>
    <w:p>
      <w:pPr>
        <w:pStyle w:val="ListBullet"/>
        <w:spacing w:after="20"/>
      </w:pPr>
      <w:r>
        <w:rPr>
          <w:b/>
          <w:i w:val="0"/>
          <w:color w:val="9B1C1C"/>
          <w:sz w:val="19"/>
        </w:rPr>
        <w:t xml:space="preserve">Missing  </w:t>
      </w:r>
      <w:r>
        <w:rPr>
          <w:b w:val="0"/>
          <w:i w:val="0"/>
          <w:sz w:val="19"/>
        </w:rPr>
        <w:t>SSCBA 1992 / s.157, Rates of payment</w:t>
      </w:r>
    </w:p>
    <w:p>
      <w:pPr>
        <w:pStyle w:val="ListBullet"/>
        <w:spacing w:after="20"/>
      </w:pPr>
      <w:r>
        <w:rPr>
          <w:b/>
          <w:i w:val="0"/>
          <w:color w:val="A15C07"/>
          <w:sz w:val="19"/>
        </w:rPr>
        <w:t xml:space="preserve">Partial  </w:t>
      </w:r>
      <w:r>
        <w:rPr>
          <w:b w:val="0"/>
          <w:i w:val="0"/>
          <w:sz w:val="19"/>
        </w:rPr>
        <w:t>ERA 1996 / s.1, Statement of initial employment particulars</w:t>
      </w:r>
    </w:p>
    <w:p>
      <w:pPr>
        <w:pStyle w:val="ListBullet"/>
        <w:spacing w:after="20"/>
      </w:pPr>
      <w:r>
        <w:rPr>
          <w:b/>
          <w:i w:val="0"/>
          <w:color w:val="A15C07"/>
          <w:sz w:val="19"/>
        </w:rPr>
        <w:t xml:space="preserve">Partial  </w:t>
      </w:r>
      <w:r>
        <w:rPr>
          <w:b w:val="0"/>
          <w:i w:val="0"/>
          <w:sz w:val="19"/>
        </w:rPr>
        <w:t>ERA 1996 / s.100, Health and safety cases</w:t>
      </w:r>
    </w:p>
    <w:p>
      <w:pPr>
        <w:pStyle w:val="ListBullet"/>
        <w:spacing w:after="20"/>
      </w:pPr>
      <w:r>
        <w:rPr>
          <w:b/>
          <w:i w:val="0"/>
          <w:color w:val="A15C07"/>
          <w:sz w:val="19"/>
        </w:rPr>
        <w:t xml:space="preserve">Partial  </w:t>
      </w:r>
      <w:r>
        <w:rPr>
          <w:b w:val="0"/>
          <w:i w:val="0"/>
          <w:sz w:val="19"/>
        </w:rPr>
        <w:t>ERA 1996 / s.103A, Protected disclosure</w:t>
      </w:r>
    </w:p>
    <w:p>
      <w:pPr>
        <w:pStyle w:val="ListBullet"/>
        <w:spacing w:after="20"/>
      </w:pPr>
      <w:r>
        <w:rPr>
          <w:b/>
          <w:i w:val="0"/>
          <w:color w:val="A15C07"/>
          <w:sz w:val="19"/>
        </w:rPr>
        <w:t xml:space="preserve">Partial  </w:t>
      </w:r>
      <w:r>
        <w:rPr>
          <w:b w:val="0"/>
          <w:i w:val="0"/>
          <w:sz w:val="19"/>
        </w:rPr>
        <w:t>ERA 1996 / s.13, Right not to suffer unauthorised deductions</w:t>
      </w:r>
    </w:p>
    <w:p>
      <w:pPr>
        <w:pStyle w:val="ListBullet"/>
        <w:spacing w:after="20"/>
      </w:pPr>
      <w:r>
        <w:rPr>
          <w:b/>
          <w:i w:val="0"/>
          <w:color w:val="A15C07"/>
          <w:sz w:val="19"/>
        </w:rPr>
        <w:t xml:space="preserve">Partial  </w:t>
      </w:r>
      <w:r>
        <w:rPr>
          <w:b w:val="0"/>
          <w:i w:val="0"/>
          <w:sz w:val="19"/>
        </w:rPr>
        <w:t>ERA 1996 / s.4, Statement of changes</w:t>
      </w:r>
    </w:p>
    <w:p>
      <w:pPr>
        <w:pStyle w:val="ListBullet"/>
        <w:spacing w:after="20"/>
      </w:pPr>
      <w:r>
        <w:rPr>
          <w:b/>
          <w:i w:val="0"/>
          <w:color w:val="A15C07"/>
          <w:sz w:val="19"/>
        </w:rPr>
        <w:t xml:space="preserve">Partial  </w:t>
      </w:r>
      <w:r>
        <w:rPr>
          <w:b w:val="0"/>
          <w:i w:val="0"/>
          <w:sz w:val="19"/>
        </w:rPr>
        <w:t>ERA 1996 / s.43B, Disclosures qualifying for protection</w:t>
      </w:r>
    </w:p>
    <w:p>
      <w:pPr>
        <w:pStyle w:val="ListBullet"/>
        <w:spacing w:after="20"/>
      </w:pPr>
      <w:r>
        <w:rPr>
          <w:b/>
          <w:i w:val="0"/>
          <w:color w:val="A15C07"/>
          <w:sz w:val="19"/>
        </w:rPr>
        <w:t xml:space="preserve">Partial  </w:t>
      </w:r>
      <w:r>
        <w:rPr>
          <w:b w:val="0"/>
          <w:i w:val="0"/>
          <w:sz w:val="19"/>
        </w:rPr>
        <w:t>ERA 1996 / s.47B, Protected disclosures</w:t>
      </w:r>
    </w:p>
    <w:p>
      <w:pPr>
        <w:pStyle w:val="ListBullet"/>
        <w:spacing w:after="20"/>
      </w:pPr>
      <w:r>
        <w:rPr>
          <w:b/>
          <w:i w:val="0"/>
          <w:color w:val="A15C07"/>
          <w:sz w:val="19"/>
        </w:rPr>
        <w:t xml:space="preserve">Partial  </w:t>
      </w:r>
      <w:r>
        <w:rPr>
          <w:b w:val="0"/>
          <w:i w:val="0"/>
          <w:sz w:val="19"/>
        </w:rPr>
        <w:t>ERA 1996 / s.57A, Time off for dependants</w:t>
      </w:r>
    </w:p>
    <w:p>
      <w:pPr>
        <w:pStyle w:val="ListBullet"/>
        <w:spacing w:after="20"/>
      </w:pPr>
      <w:r>
        <w:rPr>
          <w:b/>
          <w:i w:val="0"/>
          <w:color w:val="A15C07"/>
          <w:sz w:val="19"/>
        </w:rPr>
        <w:t xml:space="preserve">Partial  </w:t>
      </w:r>
      <w:r>
        <w:rPr>
          <w:b w:val="0"/>
          <w:i w:val="0"/>
          <w:sz w:val="19"/>
        </w:rPr>
        <w:t>ERA 1996 / s.80F, Statutory right to request contract variation</w:t>
      </w:r>
    </w:p>
    <w:p>
      <w:pPr>
        <w:pStyle w:val="ListBullet"/>
        <w:spacing w:after="20"/>
      </w:pPr>
      <w:r>
        <w:rPr>
          <w:b/>
          <w:i w:val="0"/>
          <w:color w:val="A15C07"/>
          <w:sz w:val="19"/>
        </w:rPr>
        <w:t xml:space="preserve">Partial  </w:t>
      </w:r>
      <w:r>
        <w:rPr>
          <w:b w:val="0"/>
          <w:i w:val="0"/>
          <w:sz w:val="19"/>
        </w:rPr>
        <w:t>ERA 1996 / s.86, Rights of employer and employee to minimum notice</w:t>
      </w:r>
    </w:p>
    <w:p>
      <w:pPr>
        <w:pStyle w:val="Heading1"/>
      </w:pPr>
      <w:r>
        <w:t>Findings</w:t>
      </w:r>
    </w:p>
    <w:p>
      <w:pPr>
        <w:pStyle w:val="Heading3"/>
      </w:pPr>
      <w:r>
        <w:rPr>
          <w:b w:val="0"/>
          <w:i w:val="0"/>
          <w:color w:val="1F1B16"/>
        </w:rPr>
        <w:t xml:space="preserve">ERA 1996 / s.55, Right to time off for ante-natal care  </w:t>
      </w:r>
      <w:r>
        <w:rPr>
          <w:b w:val="0"/>
          <w:i w:val="0"/>
          <w:color w:val="9B1C1C"/>
          <w:sz w:val="19"/>
        </w:rPr>
        <w:t>MISSING</w:t>
      </w:r>
    </w:p>
    <w:p>
      <w:pPr>
        <w:spacing w:after="120"/>
      </w:pPr>
      <w:r>
        <w:rPr>
          <w:b w:val="0"/>
          <w:i w:val="0"/>
          <w:color w:val="6B6358"/>
          <w:sz w:val="17"/>
        </w:rPr>
        <w:t>Civil liability (tribunal)</w:t>
      </w:r>
    </w:p>
    <w:p>
      <w:pPr>
        <w:spacing w:after="120"/>
      </w:pPr>
      <w:r>
        <w:rPr>
          <w:b w:val="0"/>
          <w:i w:val="0"/>
        </w:rPr>
        <w:t>The employer must permit a pregnant employee to take paid time off during working hours to attend ante-natal appointments made on the advice of a registered medical practitioner, midwife, or nurse.</w:t>
      </w:r>
    </w:p>
    <w:p>
      <w:pPr>
        <w:spacing w:after="120"/>
      </w:pPr>
      <w:r>
        <w:rPr>
          <w:b/>
          <w:i w:val="0"/>
        </w:rPr>
        <w:t xml:space="preserve">Assessment: </w:t>
      </w:r>
      <w:r>
        <w:rPr>
          <w:b w:val="0"/>
          <w:i w:val="0"/>
        </w:rPr>
        <w:t>The customer has declared no evidence and the uploaded document excerpts contain no reference to ante-natal care time off, related requests or grants, appointment records, payroll evidence of paid time off, or a written policy covering this entitlement. None of the required evidence categories are addressed.</w:t>
      </w:r>
    </w:p>
    <w:p>
      <w:pPr>
        <w:spacing w:after="120"/>
      </w:pPr>
      <w:r>
        <w:rPr>
          <w:b w:val="0"/>
          <w:i/>
          <w:color w:val="6B6358"/>
          <w:sz w:val="18"/>
        </w:rPr>
        <w:t>No passage in the client's documents addresses this obligation.</w:t>
      </w:r>
    </w:p>
    <w:p>
      <w:pPr>
        <w:spacing w:after="40"/>
      </w:pPr>
      <w:r>
        <w:rPr>
          <w:b/>
          <w:i w:val="0"/>
          <w:sz w:val="18"/>
        </w:rPr>
        <w:t>The legislation</w:t>
      </w:r>
    </w:p>
    <w:p>
      <w:pPr>
        <w:spacing w:after="20"/>
        <w:ind w:left="227"/>
        <w:pBdr>
          <w:left w:val="single" w:sz="18" w:space="8" w:color="7A1F2B"/>
        </w:pBdr>
      </w:pPr>
      <w:r>
        <w:rPr>
          <w:b w:val="0"/>
          <w:i/>
          <w:color w:val="1F1B16"/>
        </w:rPr>
        <w:t>“An employee who— a is pregnant, and b has, on the advice of a registered medical practitioner, registered midwife or registered nurse , made an appointment to attend at any place for the purpose of receiving ante-natal care, is entitled to be permitted by her employer to take time off during the employee's working hours”</w:t>
      </w:r>
    </w:p>
    <w:p>
      <w:pPr>
        <w:spacing w:after="160"/>
        <w:ind w:left="227"/>
      </w:pPr>
      <w:r>
        <w:rPr>
          <w:b w:val="0"/>
          <w:i w:val="0"/>
          <w:color w:val="6B6358"/>
          <w:sz w:val="17"/>
        </w:rPr>
        <w:t>ERA 1996 / s.55, Right to time off for ante-natal care  ·  https://www.legislation.gov.uk/ukpga/1996/18/section/55</w:t>
      </w:r>
    </w:p>
    <w:p>
      <w:pPr>
        <w:spacing w:after="120"/>
      </w:pPr>
      <w:r>
        <w:rPr>
          <w:b/>
          <w:i w:val="0"/>
        </w:rPr>
        <w:t xml:space="preserve">Recommended action: </w:t>
      </w:r>
      <w:r>
        <w:rPr>
          <w:b w:val="0"/>
          <w:i w:val="0"/>
        </w:rPr>
        <w:t>Provide a written ante-natal time-off policy confirming the right to paid time off during working hours for ante-natal appointments; records of any requests made and granted (including appointment cards or confirmations and, where applicable, pregnancy certificates); and payroll records showing that time off was paid at the employee's appropriate hourly rate.</w:t>
      </w:r>
    </w:p>
    <w:p>
      <w:pPr>
        <w:spacing w:after="40"/>
      </w:pPr>
      <w:r>
        <w:rPr>
          <w:b/>
          <w:i w:val="0"/>
          <w:color w:val="6B6358"/>
          <w:sz w:val="17"/>
        </w:rPr>
        <w:t>Accepted by Priya Castellane on 14 October 2026.</w:t>
      </w:r>
    </w:p>
    <w:p>
      <w:pPr>
        <w:spacing w:after="200"/>
      </w:pPr>
    </w:p>
    <w:p>
      <w:pPr>
        <w:pStyle w:val="Heading3"/>
      </w:pPr>
      <w:r>
        <w:rPr>
          <w:b w:val="0"/>
          <w:i w:val="0"/>
          <w:color w:val="1F1B16"/>
        </w:rPr>
        <w:t xml:space="preserve">ERA 1996 / s.76, Entitlement to parental leave  </w:t>
      </w:r>
      <w:r>
        <w:rPr>
          <w:b w:val="0"/>
          <w:i w:val="0"/>
          <w:color w:val="9B1C1C"/>
          <w:sz w:val="19"/>
        </w:rPr>
        <w:t>MISSING</w:t>
      </w:r>
    </w:p>
    <w:p>
      <w:pPr>
        <w:spacing w:after="120"/>
      </w:pPr>
      <w:r>
        <w:rPr>
          <w:b w:val="0"/>
          <w:i w:val="0"/>
          <w:color w:val="6B6358"/>
          <w:sz w:val="17"/>
        </w:rPr>
        <w:t>Civil liability (tribunal)</w:t>
      </w:r>
      <w:r>
        <w:rPr>
          <w:b w:val="0"/>
          <w:i w:val="0"/>
          <w:color w:val="6B6358"/>
          <w:sz w:val="17"/>
        </w:rPr>
        <w:t xml:space="preserve">  ·  In force from 6 April 2026</w:t>
      </w:r>
    </w:p>
    <w:p>
      <w:pPr>
        <w:spacing w:after="120"/>
      </w:pPr>
      <w:r>
        <w:rPr>
          <w:b w:val="0"/>
          <w:i w:val="0"/>
        </w:rPr>
        <w:t>The employer must allow unpaid parental leave to eligible employees from their first day of employment. The one-year qualifying period was removed with effect from 6 April 2026.</w:t>
      </w:r>
    </w:p>
    <w:p>
      <w:pPr>
        <w:spacing w:after="120"/>
      </w:pPr>
      <w:r>
        <w:rPr>
          <w:b/>
          <w:i w:val="0"/>
        </w:rPr>
        <w:t xml:space="preserve">Assessment: </w:t>
      </w:r>
      <w:r>
        <w:rPr>
          <w:b w:val="0"/>
          <w:i w:val="0"/>
        </w:rPr>
        <w:t>Neither the uploaded handbook nor the contract template contains any parental leave policy. The handbook's family leave section covers only maternity leave, and no text in either document addresses the day-one parental leave entitlement required from 6 April 2026.</w:t>
      </w:r>
    </w:p>
    <w:p>
      <w:pPr>
        <w:spacing w:after="120"/>
      </w:pPr>
      <w:r>
        <w:rPr>
          <w:b w:val="0"/>
          <w:i/>
          <w:color w:val="6B6358"/>
          <w:sz w:val="18"/>
        </w:rPr>
        <w:t>No passage in the client's documents addresses this obligation.</w:t>
      </w:r>
    </w:p>
    <w:p>
      <w:pPr>
        <w:spacing w:after="40"/>
      </w:pPr>
      <w:r>
        <w:rPr>
          <w:b/>
          <w:i w:val="0"/>
          <w:sz w:val="18"/>
        </w:rPr>
        <w:t>The legislation</w:t>
      </w:r>
    </w:p>
    <w:p>
      <w:pPr>
        <w:spacing w:after="20"/>
        <w:ind w:left="227"/>
        <w:pBdr>
          <w:left w:val="single" w:sz="18" w:space="8" w:color="7A1F2B"/>
        </w:pBdr>
      </w:pPr>
      <w:r>
        <w:rPr>
          <w:b w:val="0"/>
          <w:i/>
          <w:color w:val="1F1B16"/>
        </w:rPr>
        <w:t>“an employee who satisfies specified conditions— a . . . . . . . . . . . . . . . . . . . . . . . . . . . . . . . . b as to having, or expecting to have, responsibility for a child, to be absent from work on parental leave”</w:t>
      </w:r>
    </w:p>
    <w:p>
      <w:pPr>
        <w:spacing w:after="160"/>
        <w:ind w:left="227"/>
      </w:pPr>
      <w:r>
        <w:rPr>
          <w:b w:val="0"/>
          <w:i w:val="0"/>
          <w:color w:val="6B6358"/>
          <w:sz w:val="17"/>
        </w:rPr>
        <w:t>ERA 1996 / s.76, Entitlement to parental leave  ·  https://www.legislation.gov.uk/ukpga/1996/18/section/76</w:t>
      </w:r>
    </w:p>
    <w:p>
      <w:pPr>
        <w:spacing w:after="120"/>
      </w:pPr>
      <w:r>
        <w:rPr>
          <w:b/>
          <w:i w:val="0"/>
          <w:color w:val="6B6358"/>
          <w:sz w:val="17"/>
        </w:rPr>
        <w:t xml:space="preserve">Commencement: </w:t>
      </w:r>
      <w:r>
        <w:rPr>
          <w:b w:val="0"/>
          <w:i w:val="0"/>
          <w:color w:val="6B6358"/>
          <w:sz w:val="17"/>
        </w:rPr>
        <w:t>amended by ERA 2025 / s.15; in force under SI 2026/3 / reg.4 (“come into force on 6th April 2026 in so far as they are not already in force”).</w:t>
      </w:r>
    </w:p>
    <w:p>
      <w:pPr>
        <w:spacing w:after="120"/>
      </w:pPr>
      <w:r>
        <w:rPr>
          <w:b/>
          <w:i w:val="0"/>
        </w:rPr>
        <w:t xml:space="preserve">Recommended action: </w:t>
      </w:r>
      <w:r>
        <w:rPr>
          <w:b w:val="0"/>
          <w:i w:val="0"/>
        </w:rPr>
        <w:t>Provide a parental leave policy, either as a standalone document or within the employee handbook, that explicitly states the right to unpaid parental leave applies from the first day of employment, contains no one-year service qualifying condition, and is reflected consistently in the contract template or statement of main terms.</w:t>
      </w:r>
    </w:p>
    <w:p>
      <w:pPr>
        <w:spacing w:after="40"/>
      </w:pPr>
      <w:r>
        <w:rPr>
          <w:b/>
          <w:i w:val="0"/>
          <w:color w:val="6B6358"/>
          <w:sz w:val="17"/>
        </w:rPr>
        <w:t>Accepted by Priya Castellane on 14 October 2026.</w:t>
      </w:r>
    </w:p>
    <w:p>
      <w:pPr>
        <w:spacing w:after="200"/>
      </w:pPr>
    </w:p>
    <w:p>
      <w:pPr>
        <w:pStyle w:val="Heading3"/>
      </w:pPr>
      <w:r>
        <w:rPr>
          <w:b w:val="0"/>
          <w:i w:val="0"/>
          <w:color w:val="1F1B16"/>
        </w:rPr>
        <w:t xml:space="preserve">ERA 1996 / s.80A, Entitlement to  ... paternity leave: birth  </w:t>
      </w:r>
      <w:r>
        <w:rPr>
          <w:b w:val="0"/>
          <w:i w:val="0"/>
          <w:color w:val="9B1C1C"/>
          <w:sz w:val="19"/>
        </w:rPr>
        <w:t>MISSING</w:t>
      </w:r>
    </w:p>
    <w:p>
      <w:pPr>
        <w:spacing w:after="120"/>
      </w:pPr>
      <w:r>
        <w:rPr>
          <w:b w:val="0"/>
          <w:i w:val="0"/>
          <w:color w:val="6B6358"/>
          <w:sz w:val="17"/>
        </w:rPr>
        <w:t>Civil liability (tribunal)</w:t>
      </w:r>
      <w:r>
        <w:rPr>
          <w:b w:val="0"/>
          <w:i w:val="0"/>
          <w:color w:val="6B6358"/>
          <w:sz w:val="17"/>
        </w:rPr>
        <w:t xml:space="preserve">  ·  In force from 6 April 2026</w:t>
      </w:r>
    </w:p>
    <w:p>
      <w:pPr>
        <w:spacing w:after="120"/>
      </w:pPr>
      <w:r>
        <w:rPr>
          <w:b w:val="0"/>
          <w:i w:val="0"/>
        </w:rPr>
        <w:t>The employer must allow statutory paternity leave on birth or adoption to eligible employees from their first day of employment. The 26-week qualifying period was removed with effect from 6 April 2026.</w:t>
      </w:r>
    </w:p>
    <w:p>
      <w:pPr>
        <w:spacing w:after="120"/>
      </w:pPr>
      <w:r>
        <w:rPr>
          <w:b/>
          <w:i w:val="0"/>
        </w:rPr>
        <w:t xml:space="preserve">Assessment: </w:t>
      </w:r>
      <w:r>
        <w:rPr>
          <w:b w:val="0"/>
          <w:i w:val="0"/>
        </w:rPr>
        <w:t>The contract template refers readers to section 7 of the Employee Handbook for paternity leave details, but the only excerpt from section 7 that was provided covers maternity leave only. No paternity leave policy is visible in any uploaded document, and no declared evidence addresses the obligation. There is therefore no evidence that a day-one paternity leave entitlement (free of any 26-week qualifying period) has been documented.</w:t>
      </w:r>
    </w:p>
    <w:p>
      <w:pPr>
        <w:spacing w:after="120"/>
      </w:pPr>
      <w:r>
        <w:rPr>
          <w:b w:val="0"/>
          <w:i/>
          <w:color w:val="6B6358"/>
          <w:sz w:val="18"/>
        </w:rPr>
        <w:t>No passage in the client's documents addresses this obligation.</w:t>
      </w:r>
    </w:p>
    <w:p>
      <w:pPr>
        <w:spacing w:after="40"/>
      </w:pPr>
      <w:r>
        <w:rPr>
          <w:b/>
          <w:i w:val="0"/>
          <w:sz w:val="18"/>
        </w:rPr>
        <w:t>The legislation</w:t>
      </w:r>
    </w:p>
    <w:p>
      <w:pPr>
        <w:spacing w:after="20"/>
        <w:ind w:left="227"/>
        <w:pBdr>
          <w:left w:val="single" w:sz="18" w:space="8" w:color="7A1F2B"/>
        </w:pBdr>
      </w:pPr>
      <w:r>
        <w:rPr>
          <w:b w:val="0"/>
          <w:i/>
          <w:color w:val="1F1B16"/>
        </w:rPr>
        <w:t>“The Secretary of State shall make regulations entitling an employee who satisfies specified conditions—”</w:t>
      </w:r>
    </w:p>
    <w:p>
      <w:pPr>
        <w:spacing w:after="160"/>
        <w:ind w:left="227"/>
      </w:pPr>
      <w:r>
        <w:rPr>
          <w:b w:val="0"/>
          <w:i w:val="0"/>
          <w:color w:val="6B6358"/>
          <w:sz w:val="17"/>
        </w:rPr>
        <w:t>ERA 1996 / s.80A, Entitlement to  ... paternity leave: birth  ·  https://www.legislation.gov.uk/ukpga/1996/18/section/80A</w:t>
      </w:r>
    </w:p>
    <w:p>
      <w:pPr>
        <w:spacing w:after="120"/>
      </w:pPr>
      <w:r>
        <w:rPr>
          <w:b/>
          <w:i w:val="0"/>
          <w:color w:val="6B6358"/>
          <w:sz w:val="17"/>
        </w:rPr>
        <w:t xml:space="preserve">Commencement: </w:t>
      </w:r>
      <w:r>
        <w:rPr>
          <w:b w:val="0"/>
          <w:i w:val="0"/>
          <w:color w:val="6B6358"/>
          <w:sz w:val="17"/>
        </w:rPr>
        <w:t>amended by ERA 2025 / s.16; in force under SI 2026/3 / reg.4 (“come into force on 6th April 2026 in so far as they are not already in force, subject to the transitional and saving provisions in Schedule 1”). SI 2026/3 Schedule 1 makes transitional and saving provision for sections 16 and 17.</w:t>
      </w:r>
    </w:p>
    <w:p>
      <w:pPr>
        <w:spacing w:after="120"/>
      </w:pPr>
      <w:r>
        <w:rPr>
          <w:b/>
          <w:i w:val="0"/>
        </w:rPr>
        <w:t xml:space="preserve">Recommended action: </w:t>
      </w:r>
      <w:r>
        <w:rPr>
          <w:b w:val="0"/>
          <w:i w:val="0"/>
        </w:rPr>
        <w:t>Provide a written paternity leave policy, either as a standalone document or within the Employee Handbook, that explicitly states the right to statutory paternity leave applies from the first day of employment and contains no 26-week service qualifying condition for leave entitlement. The policy should cover both birth and adoption scenarios.</w:t>
      </w:r>
    </w:p>
    <w:p>
      <w:pPr>
        <w:spacing w:after="40"/>
      </w:pPr>
      <w:r>
        <w:rPr>
          <w:b/>
          <w:i w:val="0"/>
          <w:color w:val="6B6358"/>
          <w:sz w:val="17"/>
        </w:rPr>
        <w:t>Accepted by Priya Castellane on 14 October 2026.</w:t>
      </w:r>
    </w:p>
    <w:p>
      <w:pPr>
        <w:spacing w:after="200"/>
      </w:pPr>
    </w:p>
    <w:p>
      <w:pPr>
        <w:pStyle w:val="Heading3"/>
      </w:pPr>
      <w:r>
        <w:rPr>
          <w:b w:val="0"/>
          <w:i w:val="0"/>
          <w:color w:val="1F1B16"/>
        </w:rPr>
        <w:t xml:space="preserve">ERA 1996 / s.99, Leave for family reasons  </w:t>
      </w:r>
      <w:r>
        <w:rPr>
          <w:b w:val="0"/>
          <w:i w:val="0"/>
          <w:color w:val="9B1C1C"/>
          <w:sz w:val="19"/>
        </w:rPr>
        <w:t>MISSING</w:t>
      </w:r>
    </w:p>
    <w:p>
      <w:pPr>
        <w:spacing w:after="120"/>
      </w:pPr>
      <w:r>
        <w:rPr>
          <w:b w:val="0"/>
          <w:i w:val="0"/>
          <w:color w:val="6B6358"/>
          <w:sz w:val="17"/>
        </w:rPr>
        <w:t>Civil liability (tribunal)</w:t>
      </w:r>
    </w:p>
    <w:p>
      <w:pPr>
        <w:spacing w:after="120"/>
      </w:pPr>
      <w:r>
        <w:rPr>
          <w:b w:val="0"/>
          <w:i w:val="0"/>
        </w:rPr>
        <w:t>The employer must not dismiss an employee for a reason connected with pregnancy, childbirth, maternity, or taking or seeking to take family leave (maternity, paternity, adoption, shared parental, or parental leave). Such a dismissal is automatically unfair regardless of length of service.</w:t>
      </w:r>
    </w:p>
    <w:p>
      <w:pPr>
        <w:spacing w:after="120"/>
      </w:pPr>
      <w:r>
        <w:rPr>
          <w:b/>
          <w:i w:val="0"/>
        </w:rPr>
        <w:t xml:space="preserve">Assessment: </w:t>
      </w:r>
      <w:r>
        <w:rPr>
          <w:b w:val="0"/>
          <w:i w:val="0"/>
        </w:rPr>
        <w:t>The obligation requires documentation showing that any dismissal of an employee on or returning from family leave is unrelated to that leave, and for redundancy cases, records confirming the employee was offered any suitable alternative vacancy. The handbook states only that dismissals will be for a fair reason with written confirmation, but contains no procedures or records addressing the specific protections for employees on family leave, no process for documenting that a dismissal reason is unconnected to family leave, and no reference to the reg. 10 suitable alternative vacancy requirement.</w:t>
      </w:r>
    </w:p>
    <w:p>
      <w:pPr>
        <w:spacing w:after="40"/>
      </w:pPr>
      <w:r>
        <w:rPr>
          <w:b/>
          <w:i w:val="0"/>
          <w:sz w:val="18"/>
        </w:rPr>
        <w:t>From the client's documents</w:t>
      </w:r>
    </w:p>
    <w:p>
      <w:pPr>
        <w:spacing w:after="20"/>
        <w:ind w:left="227"/>
        <w:pBdr>
          <w:left w:val="single" w:sz="18" w:space="8" w:color="B8AFA2"/>
        </w:pBdr>
      </w:pPr>
      <w:r>
        <w:rPr>
          <w:b w:val="0"/>
          <w:i/>
          <w:color w:val="1F1B16"/>
        </w:rPr>
        <w:t>“We will only dismiss for a fair reason and after following our disciplinary or capability procedure. If you are dismissed, you will receive written confirmation of the reasons.”</w:t>
      </w:r>
    </w:p>
    <w:p>
      <w:pPr>
        <w:spacing w:after="160"/>
        <w:ind w:left="227"/>
      </w:pPr>
      <w:r>
        <w:rPr>
          <w:b w:val="0"/>
          <w:i w:val="0"/>
          <w:color w:val="6B6358"/>
          <w:sz w:val="17"/>
        </w:rPr>
        <w:t>Hollowmere-Employee-Handbook.docx</w:t>
      </w:r>
    </w:p>
    <w:p>
      <w:pPr>
        <w:spacing w:after="40"/>
      </w:pPr>
      <w:r>
        <w:rPr>
          <w:b/>
          <w:i w:val="0"/>
          <w:sz w:val="18"/>
        </w:rPr>
        <w:t>The legislation</w:t>
      </w:r>
    </w:p>
    <w:p>
      <w:pPr>
        <w:spacing w:after="20"/>
        <w:ind w:left="227"/>
        <w:pBdr>
          <w:left w:val="single" w:sz="18" w:space="8" w:color="7A1F2B"/>
        </w:pBdr>
      </w:pPr>
      <w:r>
        <w:rPr>
          <w:b w:val="0"/>
          <w:i/>
          <w:color w:val="1F1B16"/>
        </w:rPr>
        <w:t>“A reason or set of circumstances prescribed under this section must relate to— a pregnancy, childbirth or maternity, aa time off under section 57ZE, ab time off under section 57ZJ or 57ZL, b ordinary, compulsory or additional maternity leave”</w:t>
      </w:r>
    </w:p>
    <w:p>
      <w:pPr>
        <w:spacing w:after="160"/>
        <w:ind w:left="227"/>
      </w:pPr>
      <w:r>
        <w:rPr>
          <w:b w:val="0"/>
          <w:i w:val="0"/>
          <w:color w:val="6B6358"/>
          <w:sz w:val="17"/>
        </w:rPr>
        <w:t>ERA 1996 / s.99, Leave for family reasons  ·  https://www.legislation.gov.uk/ukpga/1996/18/section/99</w:t>
      </w:r>
    </w:p>
    <w:p>
      <w:pPr>
        <w:spacing w:after="120"/>
      </w:pPr>
      <w:r>
        <w:rPr>
          <w:b/>
          <w:i w:val="0"/>
        </w:rPr>
        <w:t xml:space="preserve">Recommended action: </w:t>
      </w:r>
      <w:r>
        <w:rPr>
          <w:b w:val="0"/>
          <w:i w:val="0"/>
        </w:rPr>
        <w:t>Produce and retain, for any dismissal involving an employee who is pregnant or on family leave: a written record setting out the genuine reason for dismissal and demonstrating it is unconnected to the pregnancy or leave; a redundancy selection rationale showing the pool and criteria applied; and, where a redundancy situation exists, a record evidencing that any suitable alternative vacancy was identified and offered to the affected employee before the dismissal took effect.</w:t>
      </w:r>
    </w:p>
    <w:p>
      <w:pPr>
        <w:spacing w:after="40"/>
      </w:pPr>
      <w:r>
        <w:rPr>
          <w:b/>
          <w:i w:val="0"/>
          <w:color w:val="6B6358"/>
          <w:sz w:val="17"/>
        </w:rPr>
        <w:t>Accepted by Priya Castellane on 14 October 2026.</w:t>
      </w:r>
    </w:p>
    <w:p>
      <w:pPr>
        <w:spacing w:after="200"/>
      </w:pPr>
    </w:p>
    <w:p>
      <w:pPr>
        <w:pStyle w:val="Heading3"/>
      </w:pPr>
      <w:r>
        <w:rPr>
          <w:b w:val="0"/>
          <w:i w:val="0"/>
          <w:color w:val="1F1B16"/>
        </w:rPr>
        <w:t xml:space="preserve">SSCBA 1992 / s.152, Period of incapacity for work  </w:t>
      </w:r>
      <w:r>
        <w:rPr>
          <w:b w:val="0"/>
          <w:i w:val="0"/>
          <w:color w:val="9B1C1C"/>
          <w:sz w:val="19"/>
        </w:rPr>
        <w:t>MISSING</w:t>
      </w:r>
    </w:p>
    <w:p>
      <w:pPr>
        <w:spacing w:after="120"/>
      </w:pPr>
      <w:r>
        <w:rPr>
          <w:b w:val="0"/>
          <w:i w:val="0"/>
          <w:color w:val="6B6358"/>
          <w:sz w:val="17"/>
        </w:rPr>
        <w:t>Administrative</w:t>
      </w:r>
      <w:r>
        <w:rPr>
          <w:b w:val="0"/>
          <w:i w:val="0"/>
          <w:color w:val="6B6358"/>
          <w:sz w:val="17"/>
        </w:rPr>
        <w:t xml:space="preserve">  ·  In force from 6 April 2026</w:t>
      </w:r>
    </w:p>
    <w:p>
      <w:pPr>
        <w:spacing w:after="120"/>
      </w:pPr>
      <w:r>
        <w:rPr>
          <w:b w:val="0"/>
          <w:i w:val="0"/>
        </w:rPr>
        <w:t>The employer must pay statutory sick pay from the first qualifying day of an employee's sickness absence. The three unpaid waiting days were removed with effect from 6 April 2026.</w:t>
      </w:r>
    </w:p>
    <w:p>
      <w:pPr>
        <w:spacing w:after="120"/>
      </w:pPr>
      <w:r>
        <w:rPr>
          <w:b/>
          <w:i w:val="0"/>
        </w:rPr>
        <w:t xml:space="preserve">Assessment: </w:t>
      </w:r>
      <w:r>
        <w:rPr>
          <w:b w:val="0"/>
          <w:i w:val="0"/>
        </w:rPr>
        <w:t>The uploaded Employee Handbook explicitly states that SSP is not paid for the first three qualifying days and is payable only from the fourth qualifying day. This directly contradicts the obligation requiring SSP to be paid from the first qualifying day for absences on or after 6 April 2026, and no updated policy, payroll configuration, or payslips demonstrating day-one payment have been provided.</w:t>
      </w:r>
    </w:p>
    <w:p>
      <w:pPr>
        <w:spacing w:after="40"/>
      </w:pPr>
      <w:r>
        <w:rPr>
          <w:b/>
          <w:i w:val="0"/>
          <w:sz w:val="18"/>
        </w:rPr>
        <w:t>From the client's documents</w:t>
      </w:r>
    </w:p>
    <w:p>
      <w:pPr>
        <w:spacing w:after="20"/>
        <w:ind w:left="227"/>
        <w:pBdr>
          <w:left w:val="single" w:sz="18" w:space="8" w:color="B8AFA2"/>
        </w:pBdr>
      </w:pPr>
      <w:r>
        <w:rPr>
          <w:b w:val="0"/>
          <w:i/>
          <w:color w:val="1F1B16"/>
        </w:rPr>
        <w:t>“SSP is not paid for the first three qualifying days of a period of sickness, which are waiting days, and is payable from the fourth qualifying day.”</w:t>
      </w:r>
    </w:p>
    <w:p>
      <w:pPr>
        <w:spacing w:after="160"/>
        <w:ind w:left="227"/>
      </w:pPr>
      <w:r>
        <w:rPr>
          <w:b w:val="0"/>
          <w:i w:val="0"/>
          <w:color w:val="6B6358"/>
          <w:sz w:val="17"/>
        </w:rPr>
        <w:t>Hollowmere-Employee-Handbook.docx</w:t>
      </w:r>
    </w:p>
    <w:p>
      <w:pPr>
        <w:spacing w:after="40"/>
      </w:pPr>
      <w:r>
        <w:rPr>
          <w:b/>
          <w:i w:val="0"/>
          <w:sz w:val="18"/>
        </w:rPr>
        <w:t>The legislation</w:t>
      </w:r>
    </w:p>
    <w:p>
      <w:pPr>
        <w:spacing w:after="20"/>
        <w:ind w:left="227"/>
        <w:pBdr>
          <w:left w:val="single" w:sz="18" w:space="8" w:color="7A1F2B"/>
        </w:pBdr>
      </w:pPr>
      <w:r>
        <w:rPr>
          <w:b w:val="0"/>
          <w:i/>
          <w:color w:val="1F1B16"/>
        </w:rPr>
        <w:t>“period of incapacity for work " means a period of one day which is, or of two or more consecutive days each of which is, a day of incapacity for work”</w:t>
      </w:r>
    </w:p>
    <w:p>
      <w:pPr>
        <w:spacing w:after="160"/>
        <w:ind w:left="227"/>
      </w:pPr>
      <w:r>
        <w:rPr>
          <w:b w:val="0"/>
          <w:i w:val="0"/>
          <w:color w:val="6B6358"/>
          <w:sz w:val="17"/>
        </w:rPr>
        <w:t>SSCBA 1992 / s.152, Period of incapacity for work  ·  https://www.legislation.gov.uk/ukpga/1992/4/section/152</w:t>
      </w:r>
    </w:p>
    <w:p>
      <w:pPr>
        <w:spacing w:after="120"/>
      </w:pPr>
      <w:r>
        <w:rPr>
          <w:b/>
          <w:i w:val="0"/>
          <w:color w:val="6B6358"/>
          <w:sz w:val="17"/>
        </w:rPr>
        <w:t xml:space="preserve">Commencement: </w:t>
      </w:r>
      <w:r>
        <w:rPr>
          <w:b w:val="0"/>
          <w:i w:val="0"/>
          <w:color w:val="6B6358"/>
          <w:sz w:val="17"/>
        </w:rPr>
        <w:t>amended by ERA 2025 / s.10; in force under SI 2026/373 / reg.2 (“section 10 (statutory sick pay in Great Britain: removal of waiting period)”). SI 2026/373 makes transitional provision for employees who were serving waiting days when the change came into force.</w:t>
      </w:r>
    </w:p>
    <w:p>
      <w:pPr>
        <w:spacing w:after="120"/>
      </w:pPr>
      <w:r>
        <w:rPr>
          <w:b/>
          <w:i w:val="0"/>
        </w:rPr>
        <w:t xml:space="preserve">Recommended action: </w:t>
      </w:r>
      <w:r>
        <w:rPr>
          <w:b w:val="0"/>
          <w:i w:val="0"/>
        </w:rPr>
        <w:t>Update the sickness absence and sick pay policy to remove all references to waiting days and state that SSP is payable from the first qualifying day of absence for any period of incapacity starting on or after 6 April 2026. Supplement this with payroll system configuration evidence or payslip examples confirming that SSP is calculated and paid from day one for absences falling on or after that date.</w:t>
      </w:r>
    </w:p>
    <w:p>
      <w:pPr>
        <w:spacing w:after="40"/>
      </w:pPr>
      <w:r>
        <w:rPr>
          <w:b/>
          <w:i w:val="0"/>
          <w:color w:val="6B6358"/>
          <w:sz w:val="17"/>
        </w:rPr>
        <w:t>Accepted by Priya Castellane on 14 October 2026.</w:t>
      </w:r>
    </w:p>
    <w:p>
      <w:pPr>
        <w:spacing w:after="120"/>
      </w:pPr>
      <w:r>
        <w:rPr>
          <w:b/>
          <w:i w:val="0"/>
          <w:sz w:val="18"/>
        </w:rPr>
        <w:t xml:space="preserve">Adviser note: </w:t>
      </w:r>
      <w:r>
        <w:rPr>
          <w:b w:val="0"/>
          <w:i w:val="0"/>
          <w:sz w:val="18"/>
        </w:rPr>
        <w:t>Payroll provider confirms waiting days are still configured. Priority fix before the next payroll run.</w:t>
      </w:r>
    </w:p>
    <w:p>
      <w:pPr>
        <w:spacing w:after="200"/>
      </w:pPr>
    </w:p>
    <w:p>
      <w:pPr>
        <w:pStyle w:val="Heading3"/>
      </w:pPr>
      <w:r>
        <w:rPr>
          <w:b w:val="0"/>
          <w:i w:val="0"/>
          <w:color w:val="1F1B16"/>
        </w:rPr>
        <w:t xml:space="preserve">SSCBA 1992 / s.157, Rates of payment  </w:t>
      </w:r>
      <w:r>
        <w:rPr>
          <w:b w:val="0"/>
          <w:i w:val="0"/>
          <w:color w:val="9B1C1C"/>
          <w:sz w:val="19"/>
        </w:rPr>
        <w:t>MISSING</w:t>
      </w:r>
    </w:p>
    <w:p>
      <w:pPr>
        <w:spacing w:after="120"/>
      </w:pPr>
      <w:r>
        <w:rPr>
          <w:b w:val="0"/>
          <w:i w:val="0"/>
          <w:color w:val="6B6358"/>
          <w:sz w:val="17"/>
        </w:rPr>
        <w:t>Administrative</w:t>
      </w:r>
      <w:r>
        <w:rPr>
          <w:b w:val="0"/>
          <w:i w:val="0"/>
          <w:color w:val="6B6358"/>
          <w:sz w:val="17"/>
        </w:rPr>
        <w:t xml:space="preserve">  ·  In force from 6 April 2026</w:t>
      </w:r>
    </w:p>
    <w:p>
      <w:pPr>
        <w:spacing w:after="120"/>
      </w:pPr>
      <w:r>
        <w:rPr>
          <w:b w:val="0"/>
          <w:i w:val="0"/>
        </w:rPr>
        <w:t>The employer must pay statutory sick pay to eligible employees whatever their earnings: the lower earnings limit no longer applies. The weekly rate is the lower of the flat statutory rate and 80% of the employee's normal weekly earnings.</w:t>
      </w:r>
    </w:p>
    <w:p>
      <w:pPr>
        <w:spacing w:after="120"/>
      </w:pPr>
      <w:r>
        <w:rPr>
          <w:b/>
          <w:i w:val="0"/>
        </w:rPr>
        <w:t xml:space="preserve">Assessment: </w:t>
      </w:r>
      <w:r>
        <w:rPr>
          <w:b w:val="0"/>
          <w:i w:val="0"/>
        </w:rPr>
        <w:t>The Employee Handbook explicitly excludes employees earning below the lower earnings limit from SSP eligibility, which directly contradicts the obligation that the lower earnings limit no longer applies. No payroll evidence or updated policy has been provided to show that lower-paid employees receive SSP at 80% of normal weekly earnings.</w:t>
      </w:r>
    </w:p>
    <w:p>
      <w:pPr>
        <w:spacing w:after="40"/>
      </w:pPr>
      <w:r>
        <w:rPr>
          <w:b/>
          <w:i w:val="0"/>
          <w:sz w:val="18"/>
        </w:rPr>
        <w:t>From the client's documents</w:t>
      </w:r>
    </w:p>
    <w:p>
      <w:pPr>
        <w:spacing w:after="20"/>
        <w:ind w:left="227"/>
        <w:pBdr>
          <w:left w:val="single" w:sz="18" w:space="8" w:color="B8AFA2"/>
        </w:pBdr>
      </w:pPr>
      <w:r>
        <w:rPr>
          <w:b w:val="0"/>
          <w:i/>
          <w:color w:val="1F1B16"/>
        </w:rPr>
        <w:t>“Employees whose average weekly earnings fall below the lower earnings limit for National Insurance are not eligible for SSP.”</w:t>
      </w:r>
    </w:p>
    <w:p>
      <w:pPr>
        <w:spacing w:after="160"/>
        <w:ind w:left="227"/>
      </w:pPr>
      <w:r>
        <w:rPr>
          <w:b w:val="0"/>
          <w:i w:val="0"/>
          <w:color w:val="6B6358"/>
          <w:sz w:val="17"/>
        </w:rPr>
        <w:t>Hollowmere-Employee-Handbook.docx</w:t>
      </w:r>
    </w:p>
    <w:p>
      <w:pPr>
        <w:spacing w:after="40"/>
      </w:pPr>
      <w:r>
        <w:rPr>
          <w:b/>
          <w:i w:val="0"/>
          <w:sz w:val="18"/>
        </w:rPr>
        <w:t>The legislation</w:t>
      </w:r>
    </w:p>
    <w:p>
      <w:pPr>
        <w:spacing w:after="20"/>
        <w:ind w:left="227"/>
        <w:pBdr>
          <w:left w:val="single" w:sz="18" w:space="8" w:color="7A1F2B"/>
        </w:pBdr>
      </w:pPr>
      <w:r>
        <w:rPr>
          <w:b w:val="0"/>
          <w:i/>
          <w:color w:val="1F1B16"/>
        </w:rPr>
        <w:t>“The weekly rate of statutory sick pay that an employer must pay to an employee is the lower of— a £123.25 , and b 80% of the employee's normal weekly earnings.”</w:t>
      </w:r>
    </w:p>
    <w:p>
      <w:pPr>
        <w:spacing w:after="160"/>
        <w:ind w:left="227"/>
      </w:pPr>
      <w:r>
        <w:rPr>
          <w:b w:val="0"/>
          <w:i w:val="0"/>
          <w:color w:val="6B6358"/>
          <w:sz w:val="17"/>
        </w:rPr>
        <w:t>SSCBA 1992 / s.157, Rates of payment  ·  https://www.legislation.gov.uk/ukpga/1992/4/section/157</w:t>
      </w:r>
    </w:p>
    <w:p>
      <w:pPr>
        <w:spacing w:after="120"/>
      </w:pPr>
      <w:r>
        <w:rPr>
          <w:b/>
          <w:i w:val="0"/>
          <w:color w:val="6B6358"/>
          <w:sz w:val="17"/>
        </w:rPr>
        <w:t xml:space="preserve">Commencement: </w:t>
      </w:r>
      <w:r>
        <w:rPr>
          <w:b w:val="0"/>
          <w:i w:val="0"/>
          <w:color w:val="6B6358"/>
          <w:sz w:val="17"/>
        </w:rPr>
        <w:t>amended by ERA 2025 / s.11; in force under SI 2026/373 / reg.2 (“section 11 (statutory sick pay in Great Britain: lower earnings limit etc)”).</w:t>
      </w:r>
    </w:p>
    <w:p>
      <w:pPr>
        <w:spacing w:after="120"/>
      </w:pPr>
      <w:r>
        <w:rPr>
          <w:b/>
          <w:i w:val="0"/>
        </w:rPr>
        <w:t xml:space="preserve">Recommended action: </w:t>
      </w:r>
      <w:r>
        <w:rPr>
          <w:b w:val="0"/>
          <w:i w:val="0"/>
        </w:rPr>
        <w:t>Update the sick pay section of the Employee Handbook to remove the lower earnings limit exclusion and state that all eligible employees receive SSP at the lower of the flat statutory rate and 80% of normal weekly earnings. Supplement this with payroll records or a payroll configuration document demonstrating that employees previously excluded by the lower earnings limit are now paid SSP on the correct basis.</w:t>
      </w:r>
    </w:p>
    <w:p>
      <w:pPr>
        <w:spacing w:after="40"/>
      </w:pPr>
      <w:r>
        <w:rPr>
          <w:b/>
          <w:i w:val="0"/>
          <w:color w:val="6B6358"/>
          <w:sz w:val="17"/>
        </w:rPr>
        <w:t>Accepted by Priya Castellane on 14 October 2026.</w:t>
      </w:r>
    </w:p>
    <w:p>
      <w:pPr>
        <w:spacing w:after="200"/>
      </w:pPr>
    </w:p>
    <w:p>
      <w:pPr>
        <w:pStyle w:val="Heading3"/>
      </w:pPr>
      <w:r>
        <w:rPr>
          <w:b w:val="0"/>
          <w:i w:val="0"/>
          <w:color w:val="1F1B16"/>
        </w:rPr>
        <w:t xml:space="preserve">ERA 1996 / s.1, Statement of initial employment particulars  </w:t>
      </w:r>
      <w:r>
        <w:rPr>
          <w:b w:val="0"/>
          <w:i w:val="0"/>
          <w:color w:val="A15C07"/>
          <w:sz w:val="19"/>
        </w:rPr>
        <w:t>PARTIAL</w:t>
      </w:r>
    </w:p>
    <w:p>
      <w:pPr>
        <w:spacing w:after="120"/>
      </w:pPr>
      <w:r>
        <w:rPr>
          <w:b w:val="0"/>
          <w:i w:val="0"/>
          <w:color w:val="6B6358"/>
          <w:sz w:val="17"/>
        </w:rPr>
        <w:t>Civil liability (tribunal)</w:t>
      </w:r>
    </w:p>
    <w:p>
      <w:pPr>
        <w:spacing w:after="120"/>
      </w:pPr>
      <w:r>
        <w:rPr>
          <w:b w:val="0"/>
          <w:i w:val="0"/>
        </w:rPr>
        <w:t>The employer must give every employee and worker a written statement of the main terms of their employment no later than the first day of employment, covering at least pay, hours and days of work, holiday entitlement, job title or description, place of work, and notice periods.</w:t>
      </w:r>
    </w:p>
    <w:p>
      <w:pPr>
        <w:spacing w:after="120"/>
      </w:pPr>
      <w:r>
        <w:rPr>
          <w:b/>
          <w:i w:val="0"/>
        </w:rPr>
        <w:t xml:space="preserve">Assessment (adviser): </w:t>
      </w:r>
      <w:r>
        <w:rPr>
          <w:b w:val="0"/>
          <w:i w:val="0"/>
        </w:rPr>
        <w:t>The April 2026 contract template contains the required particulars and is stated to be given on or before the first day of employment. Section 2.1 of the handbook still commits only to issuing the statement within two months, so the documents conflict and practice for earlier starters is unconfirmed.</w:t>
      </w:r>
    </w:p>
    <w:p>
      <w:pPr>
        <w:spacing w:after="40"/>
      </w:pPr>
      <w:r>
        <w:rPr>
          <w:b/>
          <w:i w:val="0"/>
          <w:sz w:val="18"/>
        </w:rPr>
        <w:t>From the client's documents</w:t>
      </w:r>
    </w:p>
    <w:p>
      <w:pPr>
        <w:spacing w:after="20"/>
        <w:ind w:left="227"/>
        <w:pBdr>
          <w:left w:val="single" w:sz="18" w:space="8" w:color="B8AFA2"/>
        </w:pBdr>
      </w:pPr>
      <w:r>
        <w:rPr>
          <w:b w:val="0"/>
          <w:i/>
          <w:color w:val="1F1B16"/>
        </w:rPr>
        <w:t>“This statement is given to you on or before your first day of employment. Together with your offer letter it sets out the main terms of your employment and the particulars required by section 1 of the Employment Rights Act 1996.”</w:t>
      </w:r>
    </w:p>
    <w:p>
      <w:pPr>
        <w:spacing w:after="160"/>
        <w:ind w:left="227"/>
      </w:pPr>
      <w:r>
        <w:rPr>
          <w:b w:val="0"/>
          <w:i w:val="0"/>
          <w:color w:val="6B6358"/>
          <w:sz w:val="17"/>
        </w:rPr>
        <w:t>Hollowmere-Contract-Template.docx</w:t>
      </w:r>
    </w:p>
    <w:p>
      <w:pPr>
        <w:spacing w:after="20"/>
        <w:ind w:left="227"/>
        <w:pBdr>
          <w:left w:val="single" w:sz="18" w:space="8" w:color="B8AFA2"/>
        </w:pBdr>
      </w:pPr>
      <w:r>
        <w:rPr>
          <w:b w:val="0"/>
          <w:i/>
          <w:color w:val="1F1B16"/>
        </w:rPr>
        <w:t>“Your employment begins on [start date]. Your period of continuous employment begins on [continuous employment start date]. No previous employment counts towards your continuous employment unless stated here.”</w:t>
      </w:r>
    </w:p>
    <w:p>
      <w:pPr>
        <w:spacing w:after="160"/>
        <w:ind w:left="227"/>
      </w:pPr>
      <w:r>
        <w:rPr>
          <w:b w:val="0"/>
          <w:i w:val="0"/>
          <w:color w:val="6B6358"/>
          <w:sz w:val="17"/>
        </w:rPr>
        <w:t>Hollowmere-Contract-Template.docx</w:t>
      </w:r>
    </w:p>
    <w:p>
      <w:pPr>
        <w:spacing w:after="20"/>
        <w:ind w:left="227"/>
        <w:pBdr>
          <w:left w:val="single" w:sz="18" w:space="8" w:color="B8AFA2"/>
        </w:pBdr>
      </w:pPr>
      <w:r>
        <w:rPr>
          <w:b w:val="0"/>
          <w:i/>
          <w:color w:val="1F1B16"/>
        </w:rPr>
        <w:t>“Every new employee receives a written statement of their main terms of employment within two months of their start date. Until then, your offer letter sets out your job title, pay and normal hours.”</w:t>
      </w:r>
    </w:p>
    <w:p>
      <w:pPr>
        <w:spacing w:after="160"/>
        <w:ind w:left="227"/>
      </w:pPr>
      <w:r>
        <w:rPr>
          <w:b w:val="0"/>
          <w:i w:val="0"/>
          <w:color w:val="6B6358"/>
          <w:sz w:val="17"/>
        </w:rPr>
        <w:t>Hollowmere-Employee-Handbook.docx</w:t>
      </w:r>
    </w:p>
    <w:p>
      <w:pPr>
        <w:spacing w:after="40"/>
      </w:pPr>
      <w:r>
        <w:rPr>
          <w:b/>
          <w:i w:val="0"/>
          <w:sz w:val="18"/>
        </w:rPr>
        <w:t>The legislation</w:t>
      </w:r>
    </w:p>
    <w:p>
      <w:pPr>
        <w:spacing w:after="20"/>
        <w:ind w:left="227"/>
        <w:pBdr>
          <w:left w:val="single" w:sz="18" w:space="8" w:color="7A1F2B"/>
        </w:pBdr>
      </w:pPr>
      <w:r>
        <w:rPr>
          <w:b w:val="0"/>
          <w:i/>
          <w:color w:val="1F1B16"/>
        </w:rPr>
        <w:t>“the employer shall give to the worker a written statement of particulars of employment. 2 Subject to sections 2(2) to (4)— a the particulars required by subsections (3) and (4) must be included in a single document; and b the statement must be given not later than the beginning of the employment.”</w:t>
      </w:r>
    </w:p>
    <w:p>
      <w:pPr>
        <w:spacing w:after="160"/>
        <w:ind w:left="227"/>
      </w:pPr>
      <w:r>
        <w:rPr>
          <w:b w:val="0"/>
          <w:i w:val="0"/>
          <w:color w:val="6B6358"/>
          <w:sz w:val="17"/>
        </w:rPr>
        <w:t>ERA 1996 / s.1, Statement of initial employment particulars  ·  https://www.legislation.gov.uk/ukpga/1996/18/section/1</w:t>
      </w:r>
    </w:p>
    <w:p>
      <w:pPr>
        <w:spacing w:after="120"/>
      </w:pPr>
      <w:r>
        <w:rPr>
          <w:b/>
          <w:i w:val="0"/>
        </w:rPr>
        <w:t xml:space="preserve">Recommended action (adviser): </w:t>
      </w:r>
      <w:r>
        <w:rPr>
          <w:b w:val="0"/>
          <w:i w:val="0"/>
        </w:rPr>
        <w:t>Withdraw handbook section 2.1 and align it with the contract template. Check that every employee who started before April 2026 holds a statement containing all the required particulars.</w:t>
      </w:r>
    </w:p>
    <w:p>
      <w:pPr>
        <w:spacing w:after="40"/>
      </w:pPr>
      <w:r>
        <w:rPr>
          <w:b/>
          <w:i w:val="0"/>
          <w:color w:val="6B6358"/>
          <w:sz w:val="17"/>
        </w:rPr>
        <w:t>Edited by Priya Castellane on 14 October 2026. Adviser changed the assessment, recommended action.</w:t>
      </w:r>
    </w:p>
    <w:p>
      <w:pPr>
        <w:spacing w:after="120"/>
      </w:pPr>
      <w:r>
        <w:rPr>
          <w:b/>
          <w:i w:val="0"/>
          <w:sz w:val="18"/>
        </w:rPr>
        <w:t xml:space="preserve">Adviser note: </w:t>
      </w:r>
      <w:r>
        <w:rPr>
          <w:b w:val="0"/>
          <w:i w:val="0"/>
          <w:sz w:val="18"/>
        </w:rPr>
        <w:t>Contract template v3 (April 2026) is issued on or before day one, but the handbook still promises only two months, and staff hired before April may never have received one.</w:t>
      </w:r>
    </w:p>
    <w:p>
      <w:pPr>
        <w:spacing w:after="200"/>
      </w:pPr>
    </w:p>
    <w:p>
      <w:pPr>
        <w:pStyle w:val="Heading3"/>
      </w:pPr>
      <w:r>
        <w:rPr>
          <w:b w:val="0"/>
          <w:i w:val="0"/>
          <w:color w:val="1F1B16"/>
        </w:rPr>
        <w:t xml:space="preserve">ERA 1996 / s.100, Health and safety cases  </w:t>
      </w:r>
      <w:r>
        <w:rPr>
          <w:b w:val="0"/>
          <w:i w:val="0"/>
          <w:color w:val="A15C07"/>
          <w:sz w:val="19"/>
        </w:rPr>
        <w:t>PARTIAL</w:t>
      </w:r>
    </w:p>
    <w:p>
      <w:pPr>
        <w:spacing w:after="120"/>
      </w:pPr>
      <w:r>
        <w:rPr>
          <w:b w:val="0"/>
          <w:i w:val="0"/>
          <w:color w:val="6B6358"/>
          <w:sz w:val="17"/>
        </w:rPr>
        <w:t>Civil liability (tribunal)</w:t>
      </w:r>
    </w:p>
    <w:p>
      <w:pPr>
        <w:spacing w:after="120"/>
      </w:pPr>
      <w:r>
        <w:rPr>
          <w:b w:val="0"/>
          <w:i w:val="0"/>
        </w:rPr>
        <w:t>The employer must not dismiss an employee for carrying out or proposing to carry out health and safety activities, raising health and safety concerns, or leaving or refusing to return to a workplace they reasonably believed to present serious and imminent danger. Such a dismissal is automatically unfair regardless of length of service.</w:t>
      </w:r>
    </w:p>
    <w:p>
      <w:pPr>
        <w:spacing w:after="120"/>
      </w:pPr>
      <w:r>
        <w:rPr>
          <w:b/>
          <w:i w:val="0"/>
        </w:rPr>
        <w:t xml:space="preserve">Assessment: </w:t>
      </w:r>
      <w:r>
        <w:rPr>
          <w:b w:val="0"/>
          <w:i w:val="0"/>
        </w:rPr>
        <w:t>The handbook commits to not penalising or dismissing employees for raising health and safety concerns or leaving areas of serious and imminent danger, which reflects the substantive protection required by s.100. However, the obligation also requires that where a dismissal does occur involving an employee who raised an H&amp;S concern, the employer retains documentation showing the genuine reason is unrelated and that the H&amp;S concern was handled separately from any disciplinary process; no such records, concern logs, or dismissal file procedures are evidenced in the uploaded documents.</w:t>
      </w:r>
    </w:p>
    <w:p>
      <w:pPr>
        <w:spacing w:after="40"/>
      </w:pPr>
      <w:r>
        <w:rPr>
          <w:b/>
          <w:i w:val="0"/>
          <w:sz w:val="18"/>
        </w:rPr>
        <w:t>From the client's documents</w:t>
      </w:r>
    </w:p>
    <w:p>
      <w:pPr>
        <w:spacing w:after="20"/>
        <w:ind w:left="227"/>
        <w:pBdr>
          <w:left w:val="single" w:sz="18" w:space="8" w:color="B8AFA2"/>
        </w:pBdr>
      </w:pPr>
      <w:r>
        <w:rPr>
          <w:b w:val="0"/>
          <w:i/>
          <w:color w:val="1F1B16"/>
        </w:rPr>
        <w:t>“You may stop work and leave an area if you reasonably believe there is serious and imminent danger, and you will not be penalised for raising a genuine health and safety concern.”</w:t>
      </w:r>
    </w:p>
    <w:p>
      <w:pPr>
        <w:spacing w:after="160"/>
        <w:ind w:left="227"/>
      </w:pPr>
      <w:r>
        <w:rPr>
          <w:b w:val="0"/>
          <w:i w:val="0"/>
          <w:color w:val="6B6358"/>
          <w:sz w:val="17"/>
        </w:rPr>
        <w:t>Hollowmere-Employee-Handbook.docx</w:t>
      </w:r>
    </w:p>
    <w:p>
      <w:pPr>
        <w:spacing w:after="20"/>
        <w:ind w:left="227"/>
        <w:pBdr>
          <w:left w:val="single" w:sz="18" w:space="8" w:color="B8AFA2"/>
        </w:pBdr>
      </w:pPr>
      <w:r>
        <w:rPr>
          <w:b w:val="0"/>
          <w:i/>
          <w:color w:val="1F1B16"/>
        </w:rPr>
        <w:t>“You will not suffer any detriment or be dismissed for raising a genuine concern in good faith, even if it turns out to be mistaken.”</w:t>
      </w:r>
    </w:p>
    <w:p>
      <w:pPr>
        <w:spacing w:after="160"/>
        <w:ind w:left="227"/>
      </w:pPr>
      <w:r>
        <w:rPr>
          <w:b w:val="0"/>
          <w:i w:val="0"/>
          <w:color w:val="6B6358"/>
          <w:sz w:val="17"/>
        </w:rPr>
        <w:t>Hollowmere-Employee-Handbook.docx</w:t>
      </w:r>
    </w:p>
    <w:p>
      <w:pPr>
        <w:spacing w:after="40"/>
      </w:pPr>
      <w:r>
        <w:rPr>
          <w:b/>
          <w:i w:val="0"/>
          <w:sz w:val="18"/>
        </w:rPr>
        <w:t>The legislation</w:t>
      </w:r>
    </w:p>
    <w:p>
      <w:pPr>
        <w:spacing w:after="20"/>
        <w:ind w:left="227"/>
        <w:pBdr>
          <w:left w:val="single" w:sz="18" w:space="8" w:color="7A1F2B"/>
        </w:pBdr>
      </w:pPr>
      <w:r>
        <w:rPr>
          <w:b w:val="0"/>
          <w:i/>
          <w:color w:val="1F1B16"/>
        </w:rPr>
        <w:t>“An employee who is dismissed shall be regarded for the purposes of this Part as unfairly dismissed if the reason (or, if more than one, the principal reason) for the dismissal is that”</w:t>
      </w:r>
    </w:p>
    <w:p>
      <w:pPr>
        <w:spacing w:after="160"/>
        <w:ind w:left="227"/>
      </w:pPr>
      <w:r>
        <w:rPr>
          <w:b w:val="0"/>
          <w:i w:val="0"/>
          <w:color w:val="6B6358"/>
          <w:sz w:val="17"/>
        </w:rPr>
        <w:t>ERA 1996 / s.100, Health and safety cases  ·  https://www.legislation.gov.uk/ukpga/1996/18/section/100</w:t>
      </w:r>
    </w:p>
    <w:p>
      <w:pPr>
        <w:spacing w:after="120"/>
      </w:pPr>
      <w:r>
        <w:rPr>
          <w:b/>
          <w:i w:val="0"/>
        </w:rPr>
        <w:t xml:space="preserve">Recommended action: </w:t>
      </w:r>
      <w:r>
        <w:rPr>
          <w:b w:val="0"/>
          <w:i w:val="0"/>
        </w:rPr>
        <w:t>Maintain a health and safety concern log that records each concern raised, how it was investigated, and its resolution, kept separately from any disciplinary file. Where an employee who has raised an H&amp;S concern is subsequently dismissed, retain a documented record of the genuine reason for dismissal and evidence that the H&amp;S concern played no part in the decision, such as a written rationale signed by the decision-maker and confirmation that the concern was closed through a separate process before any disciplinary action began.</w:t>
      </w:r>
    </w:p>
    <w:p>
      <w:pPr>
        <w:spacing w:after="40"/>
      </w:pPr>
      <w:r>
        <w:rPr>
          <w:b/>
          <w:i w:val="0"/>
          <w:color w:val="6B6358"/>
          <w:sz w:val="17"/>
        </w:rPr>
        <w:t>Accepted by Priya Castellane on 14 October 2026.</w:t>
      </w:r>
    </w:p>
    <w:p>
      <w:pPr>
        <w:spacing w:after="200"/>
      </w:pPr>
    </w:p>
    <w:p>
      <w:pPr>
        <w:pStyle w:val="Heading3"/>
      </w:pPr>
      <w:r>
        <w:rPr>
          <w:b w:val="0"/>
          <w:i w:val="0"/>
          <w:color w:val="1F1B16"/>
        </w:rPr>
        <w:t xml:space="preserve">ERA 1996 / s.103A, Protected disclosure  </w:t>
      </w:r>
      <w:r>
        <w:rPr>
          <w:b w:val="0"/>
          <w:i w:val="0"/>
          <w:color w:val="A15C07"/>
          <w:sz w:val="19"/>
        </w:rPr>
        <w:t>PARTIAL</w:t>
      </w:r>
    </w:p>
    <w:p>
      <w:pPr>
        <w:spacing w:after="120"/>
      </w:pPr>
      <w:r>
        <w:rPr>
          <w:b w:val="0"/>
          <w:i w:val="0"/>
          <w:color w:val="6B6358"/>
          <w:sz w:val="17"/>
        </w:rPr>
        <w:t>Civil liability (tribunal)</w:t>
      </w:r>
    </w:p>
    <w:p>
      <w:pPr>
        <w:spacing w:after="120"/>
      </w:pPr>
      <w:r>
        <w:rPr>
          <w:b w:val="0"/>
          <w:i w:val="0"/>
        </w:rPr>
        <w:t>The employer must not dismiss an employee where the reason or principal reason is that the employee made a protected disclosure. Such a dismissal is automatically unfair, with no qualifying period of service and no cap on the compensatory award.</w:t>
      </w:r>
    </w:p>
    <w:p>
      <w:pPr>
        <w:spacing w:after="120"/>
      </w:pPr>
      <w:r>
        <w:rPr>
          <w:b/>
          <w:i w:val="0"/>
        </w:rPr>
        <w:t xml:space="preserve">Assessment: </w:t>
      </w:r>
      <w:r>
        <w:rPr>
          <w:b w:val="0"/>
          <w:i w:val="0"/>
        </w:rPr>
        <w:t>The Employee Handbook contains a policy commitment that employees will not be dismissed for raising a genuine concern, which addresses the surface-level obligation. However, the obligation requires documented dismissal rationale evidencing that any dismissal is wholly unrelated to a protected disclosure, separation of disclosure-handling from disciplinary or redundancy processes, and retention of the full decision trail including decision-maker knowledge of any disclosure. None of those procedural and record-keeping controls are evidenced in any of the uploaded documents.</w:t>
      </w:r>
    </w:p>
    <w:p>
      <w:pPr>
        <w:spacing w:after="40"/>
      </w:pPr>
      <w:r>
        <w:rPr>
          <w:b/>
          <w:i w:val="0"/>
          <w:sz w:val="18"/>
        </w:rPr>
        <w:t>From the client's documents</w:t>
      </w:r>
    </w:p>
    <w:p>
      <w:pPr>
        <w:spacing w:after="20"/>
        <w:ind w:left="227"/>
        <w:pBdr>
          <w:left w:val="single" w:sz="18" w:space="8" w:color="B8AFA2"/>
        </w:pBdr>
      </w:pPr>
      <w:r>
        <w:rPr>
          <w:b w:val="0"/>
          <w:i/>
          <w:color w:val="1F1B16"/>
        </w:rPr>
        <w:t>“You will not suffer any detriment or be dismissed for raising a genuine concern in good faith, even if it turns out to be mistaken.”</w:t>
      </w:r>
    </w:p>
    <w:p>
      <w:pPr>
        <w:spacing w:after="160"/>
        <w:ind w:left="227"/>
      </w:pPr>
      <w:r>
        <w:rPr>
          <w:b w:val="0"/>
          <w:i w:val="0"/>
          <w:color w:val="6B6358"/>
          <w:sz w:val="17"/>
        </w:rPr>
        <w:t>Hollowmere-Employee-Handbook.docx</w:t>
      </w:r>
    </w:p>
    <w:p>
      <w:pPr>
        <w:spacing w:after="40"/>
      </w:pPr>
      <w:r>
        <w:rPr>
          <w:b/>
          <w:i w:val="0"/>
          <w:sz w:val="18"/>
        </w:rPr>
        <w:t>The legislation</w:t>
      </w:r>
    </w:p>
    <w:p>
      <w:pPr>
        <w:spacing w:after="20"/>
        <w:ind w:left="227"/>
        <w:pBdr>
          <w:left w:val="single" w:sz="18" w:space="8" w:color="7A1F2B"/>
        </w:pBdr>
      </w:pPr>
      <w:r>
        <w:rPr>
          <w:b w:val="0"/>
          <w:i/>
          <w:color w:val="1F1B16"/>
        </w:rPr>
        <w:t>“An employee who is dismissed shall be regarded for the purposes of this Part as unfairly dismissed if the reason (or, if more than one, the principal reason) for the dismissal is that the employee made a protected disclosure.”</w:t>
      </w:r>
    </w:p>
    <w:p>
      <w:pPr>
        <w:spacing w:after="160"/>
        <w:ind w:left="227"/>
      </w:pPr>
      <w:r>
        <w:rPr>
          <w:b w:val="0"/>
          <w:i w:val="0"/>
          <w:color w:val="6B6358"/>
          <w:sz w:val="17"/>
        </w:rPr>
        <w:t>ERA 1996 / s.103A, Protected disclosure  ·  https://www.legislation.gov.uk/ukpga/1996/18/section/103A</w:t>
      </w:r>
    </w:p>
    <w:p>
      <w:pPr>
        <w:spacing w:after="120"/>
      </w:pPr>
      <w:r>
        <w:rPr>
          <w:b/>
          <w:i w:val="0"/>
        </w:rPr>
        <w:t xml:space="preserve">Recommended action: </w:t>
      </w:r>
      <w:r>
        <w:rPr>
          <w:b w:val="0"/>
          <w:i w:val="0"/>
        </w:rPr>
        <w:t>Provide a documented procedure that separates the handling of protected disclosures from any disciplinary, capability, or redundancy process; a template or record format for capturing the decision-maker's awareness (or confirmed ignorance) of any disclosure at the point a dismissal decision is made; and a retention policy covering those decision-trail records, demonstrating that the reason for any dismissal can be shown to be wholly unrelated to a protected disclosure.</w:t>
      </w:r>
    </w:p>
    <w:p>
      <w:pPr>
        <w:spacing w:after="40"/>
      </w:pPr>
      <w:r>
        <w:rPr>
          <w:b/>
          <w:i w:val="0"/>
          <w:color w:val="6B6358"/>
          <w:sz w:val="17"/>
        </w:rPr>
        <w:t>Accepted by Priya Castellane on 14 October 2026.</w:t>
      </w:r>
    </w:p>
    <w:p>
      <w:pPr>
        <w:spacing w:after="200"/>
      </w:pPr>
    </w:p>
    <w:p>
      <w:pPr>
        <w:pStyle w:val="Heading3"/>
      </w:pPr>
      <w:r>
        <w:rPr>
          <w:b w:val="0"/>
          <w:i w:val="0"/>
          <w:color w:val="1F1B16"/>
        </w:rPr>
        <w:t xml:space="preserve">ERA 1996 / s.13, Right not to suffer unauthorised deductions  </w:t>
      </w:r>
      <w:r>
        <w:rPr>
          <w:b w:val="0"/>
          <w:i w:val="0"/>
          <w:color w:val="A15C07"/>
          <w:sz w:val="19"/>
        </w:rPr>
        <w:t>PARTIAL</w:t>
      </w:r>
    </w:p>
    <w:p>
      <w:pPr>
        <w:spacing w:after="120"/>
      </w:pPr>
      <w:r>
        <w:rPr>
          <w:b w:val="0"/>
          <w:i w:val="0"/>
          <w:color w:val="6B6358"/>
          <w:sz w:val="17"/>
        </w:rPr>
        <w:t>Civil liability (tribunal)</w:t>
      </w:r>
    </w:p>
    <w:p>
      <w:pPr>
        <w:spacing w:after="120"/>
      </w:pPr>
      <w:r>
        <w:rPr>
          <w:b w:val="0"/>
          <w:i w:val="0"/>
        </w:rPr>
        <w:t>The employer must not make a deduction from a worker's wages unless the deduction is required or authorised by statute or a relevant contractual provision, or the worker has given prior written consent. Deductions for the employer's benefit in retail employment are further capped.</w:t>
      </w:r>
    </w:p>
    <w:p>
      <w:pPr>
        <w:spacing w:after="120"/>
      </w:pPr>
      <w:r>
        <w:rPr>
          <w:b/>
          <w:i w:val="0"/>
        </w:rPr>
        <w:t xml:space="preserve">Assessment: </w:t>
      </w:r>
      <w:r>
        <w:rPr>
          <w:b w:val="0"/>
          <w:i w:val="0"/>
        </w:rPr>
        <w:t>The uploaded documents show a payslip template with statutory deductions (PAYE, NI, pension) and a uniform deduction referenced to a prior written agreement, and a contract template containing a pre-signed written consent clause covering overpayments, expenses, and unreturned uniform, with a 10% cap for shortage deductions consistent with s.18. However, the payslip is a template with sample figures rather than actual issued payslips for real workers, no signed copies of individual contracts are provided to confirm prior written consent was obtained before deductions were made, and there is no evidence covering the full population of workers or all deduction categories across pay periods.</w:t>
      </w:r>
    </w:p>
    <w:p>
      <w:pPr>
        <w:spacing w:after="40"/>
      </w:pPr>
      <w:r>
        <w:rPr>
          <w:b/>
          <w:i w:val="0"/>
          <w:sz w:val="18"/>
        </w:rPr>
        <w:t>From the client's documents (excerpt selected by the adviser)</w:t>
      </w:r>
    </w:p>
    <w:p>
      <w:pPr>
        <w:spacing w:after="20"/>
        <w:ind w:left="227"/>
        <w:pBdr>
          <w:left w:val="single" w:sz="18" w:space="8" w:color="B8AFA2"/>
        </w:pBdr>
      </w:pPr>
      <w:r>
        <w:rPr>
          <w:b w:val="0"/>
          <w:i/>
          <w:color w:val="1F1B16"/>
        </w:rPr>
        <w:t>“Hollowmere may deduct from your wages any sums you owe to the company, including overpayments of salary or expenses, the cost of unreturned uniform, and losses arising from till shortages, stock shortages or breakages that we reasonably believe were caused by you.”</w:t>
      </w:r>
    </w:p>
    <w:p>
      <w:pPr>
        <w:spacing w:after="160"/>
        <w:ind w:left="227"/>
      </w:pPr>
      <w:r>
        <w:rPr>
          <w:b w:val="0"/>
          <w:i w:val="0"/>
          <w:color w:val="6B6358"/>
          <w:sz w:val="17"/>
        </w:rPr>
        <w:t>Hollowmere-Employee-Handbook.docx</w:t>
      </w:r>
    </w:p>
    <w:p>
      <w:pPr>
        <w:spacing w:after="40"/>
      </w:pPr>
      <w:r>
        <w:rPr>
          <w:b/>
          <w:i w:val="0"/>
          <w:sz w:val="18"/>
        </w:rPr>
        <w:t>The legislation</w:t>
      </w:r>
    </w:p>
    <w:p>
      <w:pPr>
        <w:spacing w:after="20"/>
        <w:ind w:left="227"/>
        <w:pBdr>
          <w:left w:val="single" w:sz="18" w:space="8" w:color="7A1F2B"/>
        </w:pBdr>
      </w:pPr>
      <w:r>
        <w:rPr>
          <w:b w:val="0"/>
          <w:i/>
          <w:color w:val="1F1B16"/>
        </w:rPr>
        <w:t>“An employer shall not make a deduction from wages of a worker employed by him unless— a the deduction is required or authorised to be made by virtue of a statutory provision or a relevant provision of the worker's contract, or b the worker has previously signified in writing his agreement or consent to the making of the deduction.”</w:t>
      </w:r>
    </w:p>
    <w:p>
      <w:pPr>
        <w:spacing w:after="160"/>
        <w:ind w:left="227"/>
      </w:pPr>
      <w:r>
        <w:rPr>
          <w:b w:val="0"/>
          <w:i w:val="0"/>
          <w:color w:val="6B6358"/>
          <w:sz w:val="17"/>
        </w:rPr>
        <w:t>ERA 1996 / s.13, Right not to suffer unauthorised deductions  ·  https://www.legislation.gov.uk/ukpga/1996/18/section/13</w:t>
      </w:r>
    </w:p>
    <w:p>
      <w:pPr>
        <w:spacing w:after="120"/>
      </w:pPr>
      <w:r>
        <w:rPr>
          <w:b/>
          <w:i w:val="0"/>
        </w:rPr>
        <w:t xml:space="preserve">Recommended action (adviser): </w:t>
      </w:r>
      <w:r>
        <w:rPr>
          <w:b w:val="0"/>
          <w:i w:val="0"/>
        </w:rPr>
        <w:t>Withdraw handbook section 3.3 so that deductions rest only on contract clause 14 and on separate written agreements made before the conduct in question. Brief café managers that breakages are not deductible without such an agreement.</w:t>
      </w:r>
    </w:p>
    <w:p>
      <w:pPr>
        <w:spacing w:after="40"/>
      </w:pPr>
      <w:r>
        <w:rPr>
          <w:b/>
          <w:i w:val="0"/>
          <w:color w:val="6B6358"/>
          <w:sz w:val="17"/>
        </w:rPr>
        <w:t>Edited by Priya Castellane on 14 October 2026. Adviser changed the client document excerpt, recommended action.</w:t>
      </w:r>
    </w:p>
    <w:p>
      <w:pPr>
        <w:spacing w:after="120"/>
      </w:pPr>
      <w:r>
        <w:rPr>
          <w:b/>
          <w:i w:val="0"/>
          <w:sz w:val="18"/>
        </w:rPr>
        <w:t xml:space="preserve">Adviser note: </w:t>
      </w:r>
      <w:r>
        <w:rPr>
          <w:b w:val="0"/>
          <w:i w:val="0"/>
          <w:sz w:val="18"/>
        </w:rPr>
        <w:t>Contract clause 14 is sound: prior written agreement and the one-tenth retail cap. The handbook clause claims a wider right and is what managers actually rely on.</w:t>
      </w:r>
    </w:p>
    <w:p>
      <w:pPr>
        <w:spacing w:after="200"/>
      </w:pPr>
    </w:p>
    <w:p>
      <w:pPr>
        <w:pStyle w:val="Heading3"/>
      </w:pPr>
      <w:r>
        <w:rPr>
          <w:b w:val="0"/>
          <w:i w:val="0"/>
          <w:color w:val="1F1B16"/>
        </w:rPr>
        <w:t xml:space="preserve">ERA 1996 / s.4, Statement of changes  </w:t>
      </w:r>
      <w:r>
        <w:rPr>
          <w:b w:val="0"/>
          <w:i w:val="0"/>
          <w:color w:val="A15C07"/>
          <w:sz w:val="19"/>
        </w:rPr>
        <w:t>PARTIAL</w:t>
      </w:r>
    </w:p>
    <w:p>
      <w:pPr>
        <w:spacing w:after="120"/>
      </w:pPr>
      <w:r>
        <w:rPr>
          <w:b w:val="0"/>
          <w:i w:val="0"/>
          <w:color w:val="6B6358"/>
          <w:sz w:val="17"/>
        </w:rPr>
        <w:t>Civil liability (tribunal)</w:t>
      </w:r>
    </w:p>
    <w:p>
      <w:pPr>
        <w:spacing w:after="120"/>
      </w:pPr>
      <w:r>
        <w:rPr>
          <w:b w:val="0"/>
          <w:i w:val="0"/>
        </w:rPr>
        <w:t>The employer must give the employee a written statement of any change to the s.1 employment particulars at the earliest opportunity, and in any event within one month of the change taking effect.</w:t>
      </w:r>
    </w:p>
    <w:p>
      <w:pPr>
        <w:spacing w:after="120"/>
      </w:pPr>
      <w:r>
        <w:rPr>
          <w:b/>
          <w:i w:val="0"/>
        </w:rPr>
        <w:t xml:space="preserve">Assessment: </w:t>
      </w:r>
      <w:r>
        <w:rPr>
          <w:b w:val="0"/>
          <w:i w:val="0"/>
        </w:rPr>
        <w:t>The contract template and employee handbook both commit to notifying employees in writing of changes within one month, which demonstrates a policy intention aligned with the obligation. However, no actual change notification records, a register of changes matched to notification dates, or evidence that the process has been operated in practice have been provided, so the procedural infrastructure required to demonstrate ongoing compliance is absent.</w:t>
      </w:r>
    </w:p>
    <w:p>
      <w:pPr>
        <w:spacing w:after="40"/>
      </w:pPr>
      <w:r>
        <w:rPr>
          <w:b/>
          <w:i w:val="0"/>
          <w:sz w:val="18"/>
        </w:rPr>
        <w:t>From the client's documents</w:t>
      </w:r>
    </w:p>
    <w:p>
      <w:pPr>
        <w:spacing w:after="20"/>
        <w:ind w:left="227"/>
        <w:pBdr>
          <w:left w:val="single" w:sz="18" w:space="8" w:color="B8AFA2"/>
        </w:pBdr>
      </w:pPr>
      <w:r>
        <w:rPr>
          <w:b w:val="0"/>
          <w:i/>
          <w:color w:val="1F1B16"/>
        </w:rPr>
        <w:t>“We will notify you in writing of any change to the terms in this statement at the earliest opportunity and in any event not later than one month after the change takes effect.”</w:t>
      </w:r>
    </w:p>
    <w:p>
      <w:pPr>
        <w:spacing w:after="160"/>
        <w:ind w:left="227"/>
      </w:pPr>
      <w:r>
        <w:rPr>
          <w:b w:val="0"/>
          <w:i w:val="0"/>
          <w:color w:val="6B6358"/>
          <w:sz w:val="17"/>
        </w:rPr>
        <w:t>Hollowmere-Contract-Template.docx</w:t>
      </w:r>
    </w:p>
    <w:p>
      <w:pPr>
        <w:spacing w:after="20"/>
        <w:ind w:left="227"/>
        <w:pBdr>
          <w:left w:val="single" w:sz="18" w:space="8" w:color="B8AFA2"/>
        </w:pBdr>
      </w:pPr>
      <w:r>
        <w:rPr>
          <w:b w:val="0"/>
          <w:i/>
          <w:color w:val="1F1B16"/>
        </w:rPr>
        <w:t>“If we need to change your main terms of employment, we will tell you in writing within one month of the change taking effect.”</w:t>
      </w:r>
    </w:p>
    <w:p>
      <w:pPr>
        <w:spacing w:after="160"/>
        <w:ind w:left="227"/>
      </w:pPr>
      <w:r>
        <w:rPr>
          <w:b w:val="0"/>
          <w:i w:val="0"/>
          <w:color w:val="6B6358"/>
          <w:sz w:val="17"/>
        </w:rPr>
        <w:t>Hollowmere-Employee-Handbook.docx</w:t>
      </w:r>
    </w:p>
    <w:p>
      <w:pPr>
        <w:spacing w:after="40"/>
      </w:pPr>
      <w:r>
        <w:rPr>
          <w:b/>
          <w:i w:val="0"/>
          <w:sz w:val="18"/>
        </w:rPr>
        <w:t>The legislation</w:t>
      </w:r>
    </w:p>
    <w:p>
      <w:pPr>
        <w:spacing w:after="20"/>
        <w:ind w:left="227"/>
        <w:pBdr>
          <w:left w:val="single" w:sz="18" w:space="8" w:color="7A1F2B"/>
        </w:pBdr>
      </w:pPr>
      <w:r>
        <w:rPr>
          <w:b w:val="0"/>
          <w:i/>
          <w:color w:val="1F1B16"/>
        </w:rPr>
        <w:t>“A statement under subsection (1) shall be given at the earliest opportunity and, in any event, not later than— a one month after the change in question”</w:t>
      </w:r>
    </w:p>
    <w:p>
      <w:pPr>
        <w:spacing w:after="160"/>
        <w:ind w:left="227"/>
      </w:pPr>
      <w:r>
        <w:rPr>
          <w:b w:val="0"/>
          <w:i w:val="0"/>
          <w:color w:val="6B6358"/>
          <w:sz w:val="17"/>
        </w:rPr>
        <w:t>ERA 1996 / s.4, Statement of changes  ·  https://www.legislation.gov.uk/ukpga/1996/18/section/4</w:t>
      </w:r>
    </w:p>
    <w:p>
      <w:pPr>
        <w:spacing w:after="120"/>
      </w:pPr>
      <w:r>
        <w:rPr>
          <w:b/>
          <w:i w:val="0"/>
        </w:rPr>
        <w:t xml:space="preserve">Recommended action: </w:t>
      </w:r>
      <w:r>
        <w:rPr>
          <w:b w:val="0"/>
          <w:i w:val="0"/>
        </w:rPr>
        <w:t>Provide a register or log that records each change to s.1 particulars (pay, hours, job title, place of work, etc.), the date the change took effect, the date the written notification was issued to each affected employee, and copies of the dated written notifications themselves, demonstrating that each notification was issued within one month of the relevant change.</w:t>
      </w:r>
    </w:p>
    <w:p>
      <w:pPr>
        <w:spacing w:after="40"/>
      </w:pPr>
      <w:r>
        <w:rPr>
          <w:b/>
          <w:i w:val="0"/>
          <w:color w:val="6B6358"/>
          <w:sz w:val="17"/>
        </w:rPr>
        <w:t>Accepted by Priya Castellane on 14 October 2026.</w:t>
      </w:r>
    </w:p>
    <w:p>
      <w:pPr>
        <w:spacing w:after="200"/>
      </w:pPr>
    </w:p>
    <w:p>
      <w:pPr>
        <w:pStyle w:val="Heading3"/>
      </w:pPr>
      <w:r>
        <w:rPr>
          <w:b w:val="0"/>
          <w:i w:val="0"/>
          <w:color w:val="1F1B16"/>
        </w:rPr>
        <w:t xml:space="preserve">ERA 1996 / s.43B, Disclosures qualifying for protection  </w:t>
      </w:r>
      <w:r>
        <w:rPr>
          <w:b w:val="0"/>
          <w:i w:val="0"/>
          <w:color w:val="A15C07"/>
          <w:sz w:val="19"/>
        </w:rPr>
        <w:t>PARTIAL</w:t>
      </w:r>
    </w:p>
    <w:p>
      <w:pPr>
        <w:spacing w:after="120"/>
      </w:pPr>
      <w:r>
        <w:rPr>
          <w:b w:val="0"/>
          <w:i w:val="0"/>
          <w:color w:val="6B6358"/>
          <w:sz w:val="17"/>
        </w:rPr>
        <w:t>Civil liability (tribunal)</w:t>
      </w:r>
      <w:r>
        <w:rPr>
          <w:b w:val="0"/>
          <w:i w:val="0"/>
          <w:color w:val="6B6358"/>
          <w:sz w:val="17"/>
        </w:rPr>
        <w:t xml:space="preserve">  ·  In force from 6 April 2026</w:t>
      </w:r>
    </w:p>
    <w:p>
      <w:pPr>
        <w:spacing w:after="120"/>
      </w:pPr>
      <w:r>
        <w:rPr>
          <w:b w:val="0"/>
          <w:i w:val="0"/>
        </w:rPr>
        <w:t>A disclosure that sexual harassment has occurred, is occurring or is likely to occur can be a protected disclosure. The employer must treat such disclosures under its whistleblowing arrangements and must not subject the worker to detriment or dismissal for making one.</w:t>
      </w:r>
    </w:p>
    <w:p>
      <w:pPr>
        <w:spacing w:after="120"/>
      </w:pPr>
      <w:r>
        <w:rPr>
          <w:b/>
          <w:i w:val="0"/>
        </w:rPr>
        <w:t xml:space="preserve">Assessment: </w:t>
      </w:r>
      <w:r>
        <w:rPr>
          <w:b w:val="0"/>
          <w:i w:val="0"/>
        </w:rPr>
        <w:t>The whistleblowing section of the handbook covers several qualifying disclosure categories and includes protection against detriment and dismissal, but it does not list sexual harassment as a matter that can be raised as a protected disclosure. The obligation specifically requires that sexual harassment disclosures be recognised within the whistleblowing arrangements, and that gap is not addressed anywhere in the uploaded document. There is also no evidence of manager guidance or training reflecting the change.</w:t>
      </w:r>
    </w:p>
    <w:p>
      <w:pPr>
        <w:spacing w:after="40"/>
      </w:pPr>
      <w:r>
        <w:rPr>
          <w:b/>
          <w:i w:val="0"/>
          <w:sz w:val="18"/>
        </w:rPr>
        <w:t>From the client's documents</w:t>
      </w:r>
    </w:p>
    <w:p>
      <w:pPr>
        <w:spacing w:after="20"/>
        <w:ind w:left="227"/>
        <w:pBdr>
          <w:left w:val="single" w:sz="18" w:space="8" w:color="B8AFA2"/>
        </w:pBdr>
      </w:pPr>
      <w:r>
        <w:rPr>
          <w:b w:val="0"/>
          <w:i/>
          <w:color w:val="1F1B16"/>
        </w:rPr>
        <w:t>“If you have a concern about wrongdoing at Hollowmere, such as a criminal offence, a breach of a legal obligation, a danger to health and safety or damage to the environment, or an attempt to cover any of these up, please raise it with a director in confidence. You will not suffer any detriment or be dismissed for raising a genuine concern in good faith”</w:t>
      </w:r>
    </w:p>
    <w:p>
      <w:pPr>
        <w:spacing w:after="160"/>
        <w:ind w:left="227"/>
      </w:pPr>
      <w:r>
        <w:rPr>
          <w:b w:val="0"/>
          <w:i w:val="0"/>
          <w:color w:val="6B6358"/>
          <w:sz w:val="17"/>
        </w:rPr>
        <w:t>Hollowmere-Employee-Handbook.docx</w:t>
      </w:r>
    </w:p>
    <w:p>
      <w:pPr>
        <w:spacing w:after="40"/>
      </w:pPr>
      <w:r>
        <w:rPr>
          <w:b/>
          <w:i w:val="0"/>
          <w:sz w:val="18"/>
        </w:rPr>
        <w:t>The legislation</w:t>
      </w:r>
    </w:p>
    <w:p>
      <w:pPr>
        <w:spacing w:after="20"/>
        <w:ind w:left="227"/>
        <w:pBdr>
          <w:left w:val="single" w:sz="18" w:space="8" w:color="7A1F2B"/>
        </w:pBdr>
      </w:pPr>
      <w:r>
        <w:rPr>
          <w:b w:val="0"/>
          <w:i/>
          <w:color w:val="1F1B16"/>
        </w:rPr>
        <w:t>“da that sexual harassment has occurred, is occurring or is likely to occur,”</w:t>
      </w:r>
    </w:p>
    <w:p>
      <w:pPr>
        <w:spacing w:after="160"/>
        <w:ind w:left="227"/>
      </w:pPr>
      <w:r>
        <w:rPr>
          <w:b w:val="0"/>
          <w:i w:val="0"/>
          <w:color w:val="6B6358"/>
          <w:sz w:val="17"/>
        </w:rPr>
        <w:t>ERA 1996 / s.43B, Disclosures qualifying for protection  ·  https://www.legislation.gov.uk/ukpga/1996/18/section/43B</w:t>
      </w:r>
    </w:p>
    <w:p>
      <w:pPr>
        <w:spacing w:after="120"/>
      </w:pPr>
      <w:r>
        <w:rPr>
          <w:b/>
          <w:i w:val="0"/>
          <w:color w:val="6B6358"/>
          <w:sz w:val="17"/>
        </w:rPr>
        <w:t xml:space="preserve">Commencement: </w:t>
      </w:r>
      <w:r>
        <w:rPr>
          <w:b w:val="0"/>
          <w:i w:val="0"/>
          <w:color w:val="6B6358"/>
          <w:sz w:val="17"/>
        </w:rPr>
        <w:t>amended by ERA 2025 / s.23; in force under SI 2026/323 / reg.3 (“Section 23 (protection of disclosures relating to sexual harassment)”).</w:t>
      </w:r>
    </w:p>
    <w:p>
      <w:pPr>
        <w:spacing w:after="120"/>
      </w:pPr>
      <w:r>
        <w:rPr>
          <w:b/>
          <w:i w:val="0"/>
        </w:rPr>
        <w:t xml:space="preserve">Recommended action: </w:t>
      </w:r>
      <w:r>
        <w:rPr>
          <w:b w:val="0"/>
          <w:i w:val="0"/>
        </w:rPr>
        <w:t>Update the whistleblowing or speak-up policy to explicitly list sexual harassment (as occurring, having occurred, or likely to occur) among the categories of concern that qualify as protected disclosures, alongside the existing categories. Supplement this with manager guidance or training materials that explain the addition and confirm that workers raising such disclosures are protected from detriment and dismissal.</w:t>
      </w:r>
    </w:p>
    <w:p>
      <w:pPr>
        <w:spacing w:after="40"/>
      </w:pPr>
      <w:r>
        <w:rPr>
          <w:b/>
          <w:i w:val="0"/>
          <w:color w:val="6B6358"/>
          <w:sz w:val="17"/>
        </w:rPr>
        <w:t>Accepted by Priya Castellane on 14 October 2026.</w:t>
      </w:r>
    </w:p>
    <w:p>
      <w:pPr>
        <w:spacing w:after="200"/>
      </w:pPr>
    </w:p>
    <w:p>
      <w:pPr>
        <w:pStyle w:val="Heading3"/>
      </w:pPr>
      <w:r>
        <w:rPr>
          <w:b w:val="0"/>
          <w:i w:val="0"/>
          <w:color w:val="1F1B16"/>
        </w:rPr>
        <w:t xml:space="preserve">ERA 1996 / s.47B, Protected disclosures  </w:t>
      </w:r>
      <w:r>
        <w:rPr>
          <w:b w:val="0"/>
          <w:i w:val="0"/>
          <w:color w:val="A15C07"/>
          <w:sz w:val="19"/>
        </w:rPr>
        <w:t>PARTIAL</w:t>
      </w:r>
    </w:p>
    <w:p>
      <w:pPr>
        <w:spacing w:after="120"/>
      </w:pPr>
      <w:r>
        <w:rPr>
          <w:b w:val="0"/>
          <w:i w:val="0"/>
          <w:color w:val="6B6358"/>
          <w:sz w:val="17"/>
        </w:rPr>
        <w:t>Civil liability (tribunal)</w:t>
      </w:r>
    </w:p>
    <w:p>
      <w:pPr>
        <w:spacing w:after="120"/>
      </w:pPr>
      <w:r>
        <w:rPr>
          <w:b w:val="0"/>
          <w:i w:val="0"/>
        </w:rPr>
        <w:t>The employer must not subject a worker to any detriment (and must take reasonable steps to prevent co-workers doing so) on the ground that the worker has made a protected disclosure: a qualifying disclosure of wrongdoing made in accordance with the statutory whistleblowing regime.</w:t>
      </w:r>
    </w:p>
    <w:p>
      <w:pPr>
        <w:spacing w:after="120"/>
      </w:pPr>
      <w:r>
        <w:rPr>
          <w:b/>
          <w:i w:val="0"/>
        </w:rPr>
        <w:t xml:space="preserve">Assessment (adviser): </w:t>
      </w:r>
      <w:r>
        <w:rPr>
          <w:b w:val="0"/>
          <w:i w:val="0"/>
        </w:rPr>
        <w:t>Handbook section 10 commits that workers will not suffer detriment or dismissal for raising a genuine concern, which addresses the core duty. It ties protection to good faith, a test removed from the legislation in 2013, and does not list sexual harassment among the matters that can be reported.</w:t>
      </w:r>
    </w:p>
    <w:p>
      <w:pPr>
        <w:spacing w:after="40"/>
      </w:pPr>
      <w:r>
        <w:rPr>
          <w:b/>
          <w:i w:val="0"/>
          <w:sz w:val="18"/>
        </w:rPr>
        <w:t>From the client's documents (excerpt selected by the adviser)</w:t>
      </w:r>
    </w:p>
    <w:p>
      <w:pPr>
        <w:spacing w:after="20"/>
        <w:ind w:left="227"/>
        <w:pBdr>
          <w:left w:val="single" w:sz="18" w:space="8" w:color="B8AFA2"/>
        </w:pBdr>
      </w:pPr>
      <w:r>
        <w:rPr>
          <w:b w:val="0"/>
          <w:i/>
          <w:color w:val="1F1B16"/>
        </w:rPr>
        <w:t>“You will not suffer any detriment or be dismissed for raising a genuine concern in good faith, even if it turns out to be mistaken.”</w:t>
      </w:r>
    </w:p>
    <w:p>
      <w:pPr>
        <w:spacing w:after="160"/>
        <w:ind w:left="227"/>
      </w:pPr>
      <w:r>
        <w:rPr>
          <w:b w:val="0"/>
          <w:i w:val="0"/>
          <w:color w:val="6B6358"/>
          <w:sz w:val="17"/>
        </w:rPr>
        <w:t>Hollowmere-Employee-Handbook.docx</w:t>
      </w:r>
    </w:p>
    <w:p>
      <w:pPr>
        <w:spacing w:after="40"/>
      </w:pPr>
      <w:r>
        <w:rPr>
          <w:b/>
          <w:i w:val="0"/>
          <w:sz w:val="18"/>
        </w:rPr>
        <w:t>The legislation</w:t>
      </w:r>
    </w:p>
    <w:p>
      <w:pPr>
        <w:spacing w:after="20"/>
        <w:ind w:left="227"/>
        <w:pBdr>
          <w:left w:val="single" w:sz="18" w:space="8" w:color="7A1F2B"/>
        </w:pBdr>
      </w:pPr>
      <w:r>
        <w:rPr>
          <w:b w:val="0"/>
          <w:i/>
          <w:color w:val="1F1B16"/>
        </w:rPr>
        <w:t>“A worker has the right not to be subjected to any detriment by any act, or any deliberate failure to act, by his employer done on the ground that the worker has made a protected disclosure.”</w:t>
      </w:r>
    </w:p>
    <w:p>
      <w:pPr>
        <w:spacing w:after="160"/>
        <w:ind w:left="227"/>
      </w:pPr>
      <w:r>
        <w:rPr>
          <w:b w:val="0"/>
          <w:i w:val="0"/>
          <w:color w:val="6B6358"/>
          <w:sz w:val="17"/>
        </w:rPr>
        <w:t>ERA 1996 / s.47B, Protected disclosures  ·  https://www.legislation.gov.uk/ukpga/1996/18/section/47B</w:t>
      </w:r>
    </w:p>
    <w:p>
      <w:pPr>
        <w:spacing w:after="120"/>
      </w:pPr>
      <w:r>
        <w:rPr>
          <w:b/>
          <w:i w:val="0"/>
        </w:rPr>
        <w:t xml:space="preserve">Recommended action (adviser): </w:t>
      </w:r>
      <w:r>
        <w:rPr>
          <w:b w:val="0"/>
          <w:i w:val="0"/>
        </w:rPr>
        <w:t>Replace the good-faith wording with the public-interest test, add sexual harassment to the listed concerns, and keep a confidential log of disclosures and how each was handled.</w:t>
      </w:r>
    </w:p>
    <w:p>
      <w:pPr>
        <w:spacing w:after="40"/>
      </w:pPr>
      <w:r>
        <w:rPr>
          <w:b/>
          <w:i w:val="0"/>
          <w:color w:val="6B6358"/>
          <w:sz w:val="17"/>
        </w:rPr>
        <w:t>Edited by Priya Castellane on 14 October 2026. Adviser changed the client document excerpt, assessment, recommended action, status (engine draft: Missing; adviser: Partial).</w:t>
      </w:r>
    </w:p>
    <w:p>
      <w:pPr>
        <w:spacing w:after="120"/>
      </w:pPr>
      <w:r>
        <w:rPr>
          <w:b/>
          <w:i w:val="0"/>
          <w:sz w:val="18"/>
        </w:rPr>
        <w:t xml:space="preserve">Adviser note: </w:t>
      </w:r>
      <w:r>
        <w:rPr>
          <w:b w:val="0"/>
          <w:i w:val="0"/>
          <w:sz w:val="18"/>
        </w:rPr>
        <w:t>Engine did not see handbook section 10 (Raising concerns). Re-assessed against it: the no-detriment commitment is there, but tied to a dated good-faith test and silent on sexual harassment.</w:t>
      </w:r>
    </w:p>
    <w:p>
      <w:pPr>
        <w:spacing w:after="200"/>
      </w:pPr>
    </w:p>
    <w:p>
      <w:pPr>
        <w:pStyle w:val="Heading3"/>
      </w:pPr>
      <w:r>
        <w:rPr>
          <w:b w:val="0"/>
          <w:i w:val="0"/>
          <w:color w:val="1F1B16"/>
        </w:rPr>
        <w:t xml:space="preserve">ERA 1996 / s.57A, Time off for dependants  </w:t>
      </w:r>
      <w:r>
        <w:rPr>
          <w:b w:val="0"/>
          <w:i w:val="0"/>
          <w:color w:val="A15C07"/>
          <w:sz w:val="19"/>
        </w:rPr>
        <w:t>PARTIAL</w:t>
      </w:r>
    </w:p>
    <w:p>
      <w:pPr>
        <w:spacing w:after="120"/>
      </w:pPr>
      <w:r>
        <w:rPr>
          <w:b w:val="0"/>
          <w:i w:val="0"/>
          <w:color w:val="6B6358"/>
          <w:sz w:val="17"/>
        </w:rPr>
        <w:t>Civil liability (tribunal)</w:t>
      </w:r>
    </w:p>
    <w:p>
      <w:pPr>
        <w:spacing w:after="120"/>
      </w:pPr>
      <w:r>
        <w:rPr>
          <w:b w:val="0"/>
          <w:i w:val="0"/>
        </w:rPr>
        <w:t>The employer must permit an employee to take a reasonable amount of unpaid time off during working hours to deal with unexpected events involving a dependant: illness, injury, death, disrupted care arrangements, or an incident involving their child at school. A day-one right with no qualifying period.</w:t>
      </w:r>
    </w:p>
    <w:p>
      <w:pPr>
        <w:spacing w:after="120"/>
      </w:pPr>
      <w:r>
        <w:rPr>
          <w:b/>
          <w:i w:val="0"/>
        </w:rPr>
        <w:t xml:space="preserve">Assessment: </w:t>
      </w:r>
      <w:r>
        <w:rPr>
          <w:b w:val="0"/>
          <w:i w:val="0"/>
        </w:rPr>
        <w:t>The handbook contains a written time-off-for-dependants policy that covers the day-one right, the unpaid nature of the leave, the notification duty, and two of the qualifying circumstances (illness and disrupted care arrangements). However, the policy does not explicitly address all five statutory circumstances listed in s.57A(1), notably death of a dependant, injury or assault, and incidents involving a child at an educational establishment. Additionally, there is no leave log recording individual requests, circumstances, and outcomes, and no evidence that no employee has been refused or penalised for taking dependant leave.</w:t>
      </w:r>
    </w:p>
    <w:p>
      <w:pPr>
        <w:spacing w:after="40"/>
      </w:pPr>
      <w:r>
        <w:rPr>
          <w:b/>
          <w:i w:val="0"/>
          <w:sz w:val="18"/>
        </w:rPr>
        <w:t>From the client's documents</w:t>
      </w:r>
    </w:p>
    <w:p>
      <w:pPr>
        <w:spacing w:after="20"/>
        <w:ind w:left="227"/>
        <w:pBdr>
          <w:left w:val="single" w:sz="18" w:space="8" w:color="B8AFA2"/>
        </w:pBdr>
      </w:pPr>
      <w:r>
        <w:rPr>
          <w:b w:val="0"/>
          <w:i/>
          <w:color w:val="1F1B16"/>
        </w:rPr>
        <w:t>“All employees may take a reasonable amount of unpaid time off to deal with an emergency involving a dependant, for example when a child falls ill or care arrangements break down unexpectedly. Please tell your manager as soon as you can, and say how long you expect to be away.”</w:t>
      </w:r>
    </w:p>
    <w:p>
      <w:pPr>
        <w:spacing w:after="160"/>
        <w:ind w:left="227"/>
      </w:pPr>
      <w:r>
        <w:rPr>
          <w:b w:val="0"/>
          <w:i w:val="0"/>
          <w:color w:val="6B6358"/>
          <w:sz w:val="17"/>
        </w:rPr>
        <w:t>Hollowmere-Employee-Handbook.docx</w:t>
      </w:r>
    </w:p>
    <w:p>
      <w:pPr>
        <w:spacing w:after="40"/>
      </w:pPr>
      <w:r>
        <w:rPr>
          <w:b/>
          <w:i w:val="0"/>
          <w:sz w:val="18"/>
        </w:rPr>
        <w:t>The legislation</w:t>
      </w:r>
    </w:p>
    <w:p>
      <w:pPr>
        <w:spacing w:after="20"/>
        <w:ind w:left="227"/>
        <w:pBdr>
          <w:left w:val="single" w:sz="18" w:space="8" w:color="7A1F2B"/>
        </w:pBdr>
      </w:pPr>
      <w:r>
        <w:rPr>
          <w:b w:val="0"/>
          <w:i/>
          <w:color w:val="1F1B16"/>
        </w:rPr>
        <w:t>“An employee is entitled to be permitted by his employer to take a reasonable amount of time off during the employee's working hours in order to take action which is necessary”</w:t>
      </w:r>
    </w:p>
    <w:p>
      <w:pPr>
        <w:spacing w:after="160"/>
        <w:ind w:left="227"/>
      </w:pPr>
      <w:r>
        <w:rPr>
          <w:b w:val="0"/>
          <w:i w:val="0"/>
          <w:color w:val="6B6358"/>
          <w:sz w:val="17"/>
        </w:rPr>
        <w:t>ERA 1996 / s.57A, Time off for dependants  ·  https://www.legislation.gov.uk/ukpga/1996/18/section/57A</w:t>
      </w:r>
    </w:p>
    <w:p>
      <w:pPr>
        <w:spacing w:after="120"/>
      </w:pPr>
      <w:r>
        <w:rPr>
          <w:b/>
          <w:i w:val="0"/>
        </w:rPr>
        <w:t xml:space="preserve">Recommended action: </w:t>
      </w:r>
      <w:r>
        <w:rPr>
          <w:b w:val="0"/>
          <w:i w:val="0"/>
        </w:rPr>
        <w:t>Update the written policy to enumerate all five qualifying circumstances from s.57A(1)(a)-(e), including death of a dependant, injury or assault, and school incidents. Introduce a leave log or equivalent HR record capturing each request, the stated circumstance, and the outcome. Retain records demonstrating that no reasonable request has been refused and that no employee has been subjected to detriment for taking dependant leave.</w:t>
      </w:r>
    </w:p>
    <w:p>
      <w:pPr>
        <w:spacing w:after="40"/>
      </w:pPr>
      <w:r>
        <w:rPr>
          <w:b/>
          <w:i w:val="0"/>
          <w:color w:val="6B6358"/>
          <w:sz w:val="17"/>
        </w:rPr>
        <w:t>Accepted by Priya Castellane on 14 October 2026.</w:t>
      </w:r>
    </w:p>
    <w:p>
      <w:pPr>
        <w:spacing w:after="200"/>
      </w:pPr>
    </w:p>
    <w:p>
      <w:pPr>
        <w:pStyle w:val="Heading3"/>
      </w:pPr>
      <w:r>
        <w:rPr>
          <w:b w:val="0"/>
          <w:i w:val="0"/>
          <w:color w:val="1F1B16"/>
        </w:rPr>
        <w:t xml:space="preserve">ERA 1996 / s.80F, Statutory right to request contract variation  </w:t>
      </w:r>
      <w:r>
        <w:rPr>
          <w:b w:val="0"/>
          <w:i w:val="0"/>
          <w:color w:val="A15C07"/>
          <w:sz w:val="19"/>
        </w:rPr>
        <w:t>PARTIAL</w:t>
      </w:r>
    </w:p>
    <w:p>
      <w:pPr>
        <w:spacing w:after="120"/>
      </w:pPr>
      <w:r>
        <w:rPr>
          <w:b w:val="0"/>
          <w:i w:val="0"/>
          <w:color w:val="6B6358"/>
          <w:sz w:val="17"/>
        </w:rPr>
        <w:t>Civil liability (tribunal)</w:t>
      </w:r>
    </w:p>
    <w:p>
      <w:pPr>
        <w:spacing w:after="120"/>
      </w:pPr>
      <w:r>
        <w:rPr>
          <w:b w:val="0"/>
          <w:i w:val="0"/>
        </w:rPr>
        <w:t>The employer must operate the statutory flexible-working request regime: an employee may apply (from day one) for a change to hours, times, or place of work; the employer must deal with the application reasonably, decide it within the statutory period, not reject it except on the statutory grounds, and not refuse without consulting the employee.</w:t>
      </w:r>
    </w:p>
    <w:p>
      <w:pPr>
        <w:spacing w:after="120"/>
      </w:pPr>
      <w:r>
        <w:rPr>
          <w:b/>
          <w:i w:val="0"/>
        </w:rPr>
        <w:t xml:space="preserve">Assessment: </w:t>
      </w:r>
      <w:r>
        <w:rPr>
          <w:b w:val="0"/>
          <w:i w:val="0"/>
        </w:rPr>
        <w:t>The handbook contains a brief flexible working section that partially reflects the statutory regime, but it is materially deficient in several respects: it imposes a 26-week qualifying period and a limit of one request per year, whereas the current law (as amended) allows requests from day one and permits two requests in any 12-month period; it states a three-month reply period without reference to the statutory decision period or the Acas Code; it makes no reference to the statutory grounds on which a request may be refused, the requirement to consult before refusing, or the right of appeal. There is also no register of applications, consultation records, decision records, or evidence of decisions issued within the statutory period.</w:t>
      </w:r>
    </w:p>
    <w:p>
      <w:pPr>
        <w:spacing w:after="40"/>
      </w:pPr>
      <w:r>
        <w:rPr>
          <w:b/>
          <w:i w:val="0"/>
          <w:sz w:val="18"/>
        </w:rPr>
        <w:t>From the client's documents</w:t>
      </w:r>
    </w:p>
    <w:p>
      <w:pPr>
        <w:spacing w:after="20"/>
        <w:ind w:left="227"/>
        <w:pBdr>
          <w:left w:val="single" w:sz="18" w:space="8" w:color="B8AFA2"/>
        </w:pBdr>
      </w:pPr>
      <w:r>
        <w:rPr>
          <w:b w:val="0"/>
          <w:i/>
          <w:color w:val="1F1B16"/>
        </w:rPr>
        <w:t>“Employees with at least 26 weeks' continuous service may make one request a year to change their hours, times or place of work. Requests should be made in writing to your manager. We will consider every request and reply within three months.”</w:t>
      </w:r>
    </w:p>
    <w:p>
      <w:pPr>
        <w:spacing w:after="160"/>
        <w:ind w:left="227"/>
      </w:pPr>
      <w:r>
        <w:rPr>
          <w:b w:val="0"/>
          <w:i w:val="0"/>
          <w:color w:val="6B6358"/>
          <w:sz w:val="17"/>
        </w:rPr>
        <w:t>Hollowmere-Employee-Handbook.docx</w:t>
      </w:r>
    </w:p>
    <w:p>
      <w:pPr>
        <w:spacing w:after="40"/>
      </w:pPr>
      <w:r>
        <w:rPr>
          <w:b/>
          <w:i w:val="0"/>
          <w:sz w:val="18"/>
        </w:rPr>
        <w:t>The legislation</w:t>
      </w:r>
    </w:p>
    <w:p>
      <w:pPr>
        <w:spacing w:after="20"/>
        <w:ind w:left="227"/>
        <w:pBdr>
          <w:left w:val="single" w:sz="18" w:space="8" w:color="7A1F2B"/>
        </w:pBdr>
      </w:pPr>
      <w:r>
        <w:rPr>
          <w:b w:val="0"/>
          <w:i/>
          <w:color w:val="1F1B16"/>
        </w:rPr>
        <w:t>“A qualifying employee may apply to his employer for a change in his terms and conditions of employment if— a the change relates to— i the hours he is required to work, ii the times when he is required to work, iii where, as between his home and a place of business”</w:t>
      </w:r>
    </w:p>
    <w:p>
      <w:pPr>
        <w:spacing w:after="160"/>
        <w:ind w:left="227"/>
      </w:pPr>
      <w:r>
        <w:rPr>
          <w:b w:val="0"/>
          <w:i w:val="0"/>
          <w:color w:val="6B6358"/>
          <w:sz w:val="17"/>
        </w:rPr>
        <w:t>ERA 1996 / s.80F, Statutory right to request contract variation  ·  https://www.legislation.gov.uk/ukpga/1996/18/section/80F</w:t>
      </w:r>
    </w:p>
    <w:p>
      <w:pPr>
        <w:spacing w:after="120"/>
      </w:pPr>
      <w:r>
        <w:rPr>
          <w:b/>
          <w:i w:val="0"/>
        </w:rPr>
        <w:t xml:space="preserve">Recommended action (adviser): </w:t>
      </w:r>
      <w:r>
        <w:rPr>
          <w:b w:val="0"/>
          <w:i w:val="0"/>
        </w:rPr>
        <w:t>Rewrite handbook section 7.5: employees may request flexible working from their first day, may make two requests in any 12-month period, and must receive a decision within two months, after consultation where the employer is minded to refuse.</w:t>
      </w:r>
    </w:p>
    <w:p>
      <w:pPr>
        <w:spacing w:after="40"/>
      </w:pPr>
      <w:r>
        <w:rPr>
          <w:b/>
          <w:i w:val="0"/>
          <w:color w:val="6B6358"/>
          <w:sz w:val="17"/>
        </w:rPr>
        <w:t>Edited by Priya Castellane on 14 October 2026. Adviser changed the recommended action.</w:t>
      </w:r>
    </w:p>
    <w:p>
      <w:pPr>
        <w:spacing w:after="120"/>
      </w:pPr>
      <w:r>
        <w:rPr>
          <w:b/>
          <w:i w:val="0"/>
          <w:sz w:val="18"/>
        </w:rPr>
        <w:t xml:space="preserve">Adviser note: </w:t>
      </w:r>
      <w:r>
        <w:rPr>
          <w:b w:val="0"/>
          <w:i w:val="0"/>
          <w:sz w:val="18"/>
        </w:rPr>
        <w:t>Handbook section 7.5 predates the April 2024 changes.</w:t>
      </w:r>
    </w:p>
    <w:p>
      <w:pPr>
        <w:spacing w:after="200"/>
      </w:pPr>
    </w:p>
    <w:p>
      <w:pPr>
        <w:pStyle w:val="Heading3"/>
      </w:pPr>
      <w:r>
        <w:rPr>
          <w:b w:val="0"/>
          <w:i w:val="0"/>
          <w:color w:val="1F1B16"/>
        </w:rPr>
        <w:t xml:space="preserve">ERA 1996 / s.86, Rights of employer and employee to minimum notice  </w:t>
      </w:r>
      <w:r>
        <w:rPr>
          <w:b w:val="0"/>
          <w:i w:val="0"/>
          <w:color w:val="A15C07"/>
          <w:sz w:val="19"/>
        </w:rPr>
        <w:t>PARTIAL</w:t>
      </w:r>
    </w:p>
    <w:p>
      <w:pPr>
        <w:spacing w:after="120"/>
      </w:pPr>
      <w:r>
        <w:rPr>
          <w:b w:val="0"/>
          <w:i w:val="0"/>
          <w:color w:val="6B6358"/>
          <w:sz w:val="17"/>
        </w:rPr>
        <w:t>Civil liability (tribunal)</w:t>
      </w:r>
    </w:p>
    <w:p>
      <w:pPr>
        <w:spacing w:after="120"/>
      </w:pPr>
      <w:r>
        <w:rPr>
          <w:b w:val="0"/>
          <w:i w:val="0"/>
        </w:rPr>
        <w:t>The employer must give an employee continuously employed for one month or more at least the statutory minimum notice of termination: one week after a month's service, then one additional week for each complete year of service, up to a maximum of twelve weeks after twelve years.</w:t>
      </w:r>
    </w:p>
    <w:p>
      <w:pPr>
        <w:spacing w:after="120"/>
      </w:pPr>
      <w:r>
        <w:rPr>
          <w:b/>
          <w:i w:val="0"/>
        </w:rPr>
        <w:t xml:space="preserve">Assessment: </w:t>
      </w:r>
      <w:r>
        <w:rPr>
          <w:b w:val="0"/>
          <w:i w:val="0"/>
        </w:rPr>
        <w:t>The contract template correctly states the statutory minimum notice entitlements and records a field for continuous employment start dates, which satisfies the policy and calculation-basis elements of the obligation. However, no termination letters or per-termination records demonstrating that the correct notice was actually given in practice have been provided, so the obligation is only partially met.</w:t>
      </w:r>
    </w:p>
    <w:p>
      <w:pPr>
        <w:spacing w:after="40"/>
      </w:pPr>
      <w:r>
        <w:rPr>
          <w:b/>
          <w:i w:val="0"/>
          <w:sz w:val="18"/>
        </w:rPr>
        <w:t>From the client's documents</w:t>
      </w:r>
    </w:p>
    <w:p>
      <w:pPr>
        <w:spacing w:after="20"/>
        <w:ind w:left="227"/>
        <w:pBdr>
          <w:left w:val="single" w:sz="18" w:space="8" w:color="B8AFA2"/>
        </w:pBdr>
      </w:pPr>
      <w:r>
        <w:rPr>
          <w:b w:val="0"/>
          <w:i/>
          <w:color w:val="1F1B16"/>
        </w:rPr>
        <w:t>“The company will give you not less than one week's notice if you have been continuously employed for one month or more but less than two years, and not less than one week's notice for each complete year of continuous employment if you have been employed for two years or more, up to a maximum of twelve weeks' notice.”</w:t>
      </w:r>
    </w:p>
    <w:p>
      <w:pPr>
        <w:spacing w:after="160"/>
        <w:ind w:left="227"/>
      </w:pPr>
      <w:r>
        <w:rPr>
          <w:b w:val="0"/>
          <w:i w:val="0"/>
          <w:color w:val="6B6358"/>
          <w:sz w:val="17"/>
        </w:rPr>
        <w:t>Hollowmere-Contract-Template.docx</w:t>
      </w:r>
    </w:p>
    <w:p>
      <w:pPr>
        <w:spacing w:after="20"/>
        <w:ind w:left="227"/>
        <w:pBdr>
          <w:left w:val="single" w:sz="18" w:space="8" w:color="B8AFA2"/>
        </w:pBdr>
      </w:pPr>
      <w:r>
        <w:rPr>
          <w:b w:val="0"/>
          <w:i/>
          <w:color w:val="1F1B16"/>
        </w:rPr>
        <w:t>“Your employment begins on [start date]. Your period of continuous employment begins on [continuous employment start date]. No previous employment counts towards your continuous employment unless stated here.”</w:t>
      </w:r>
    </w:p>
    <w:p>
      <w:pPr>
        <w:spacing w:after="160"/>
        <w:ind w:left="227"/>
      </w:pPr>
      <w:r>
        <w:rPr>
          <w:b w:val="0"/>
          <w:i w:val="0"/>
          <w:color w:val="6B6358"/>
          <w:sz w:val="17"/>
        </w:rPr>
        <w:t>Hollowmere-Contract-Template.docx</w:t>
      </w:r>
    </w:p>
    <w:p>
      <w:pPr>
        <w:spacing w:after="40"/>
      </w:pPr>
      <w:r>
        <w:rPr>
          <w:b/>
          <w:i w:val="0"/>
          <w:sz w:val="18"/>
        </w:rPr>
        <w:t>The legislation</w:t>
      </w:r>
    </w:p>
    <w:p>
      <w:pPr>
        <w:spacing w:after="20"/>
        <w:ind w:left="227"/>
        <w:pBdr>
          <w:left w:val="single" w:sz="18" w:space="8" w:color="7A1F2B"/>
        </w:pBdr>
      </w:pPr>
      <w:r>
        <w:rPr>
          <w:b w:val="0"/>
          <w:i/>
          <w:color w:val="1F1B16"/>
        </w:rPr>
        <w:t>“is not less than one week's notice if his period of continuous employment is less than two years, b is not less than one week's notice for each year of continuous employment if his period of continuous employment is two years or more but less than twelve years, and c is not less than twelve weeks' notice if his period of continuous employment is twelve years or more.”</w:t>
      </w:r>
    </w:p>
    <w:p>
      <w:pPr>
        <w:spacing w:after="160"/>
        <w:ind w:left="227"/>
      </w:pPr>
      <w:r>
        <w:rPr>
          <w:b w:val="0"/>
          <w:i w:val="0"/>
          <w:color w:val="6B6358"/>
          <w:sz w:val="17"/>
        </w:rPr>
        <w:t>ERA 1996 / s.86, Rights of employer and employee to minimum notice  ·  https://www.legislation.gov.uk/ukpga/1996/18/section/86</w:t>
      </w:r>
    </w:p>
    <w:p>
      <w:pPr>
        <w:spacing w:after="120"/>
      </w:pPr>
      <w:r>
        <w:rPr>
          <w:b/>
          <w:i w:val="0"/>
        </w:rPr>
        <w:t xml:space="preserve">Recommended action: </w:t>
      </w:r>
      <w:r>
        <w:rPr>
          <w:b w:val="0"/>
          <w:i w:val="0"/>
        </w:rPr>
        <w:t>Provide retained termination letters for each dismissal showing the notice period given alongside the employee's continuous service length, and records confirming the continuous employment start date used in each calculation. Where contractual notice exceeds the statutory minimum, include evidence that the longer period was honoured.</w:t>
      </w:r>
    </w:p>
    <w:p>
      <w:pPr>
        <w:spacing w:after="40"/>
      </w:pPr>
      <w:r>
        <w:rPr>
          <w:b/>
          <w:i w:val="0"/>
          <w:color w:val="6B6358"/>
          <w:sz w:val="17"/>
        </w:rPr>
        <w:t>Accepted by Priya Castellane on 14 October 2026.</w:t>
      </w:r>
    </w:p>
    <w:p>
      <w:pPr>
        <w:spacing w:after="120"/>
      </w:pPr>
      <w:r>
        <w:rPr>
          <w:b/>
          <w:i w:val="0"/>
          <w:sz w:val="18"/>
        </w:rPr>
        <w:t xml:space="preserve">Adviser note: </w:t>
      </w:r>
      <w:r>
        <w:rPr>
          <w:b w:val="0"/>
          <w:i w:val="0"/>
          <w:sz w:val="18"/>
        </w:rPr>
        <w:t>Contract clause 13 applies the statutory scale. Handbook section 11.1 still caps employer notice at two weeks and must be aligned before any employee reaches three years' service (March 2028).</w:t>
      </w:r>
    </w:p>
    <w:p>
      <w:pPr>
        <w:spacing w:after="200"/>
      </w:pPr>
    </w:p>
    <w:p>
      <w:pPr>
        <w:pStyle w:val="Heading3"/>
      </w:pPr>
      <w:r>
        <w:rPr>
          <w:b w:val="0"/>
          <w:i w:val="0"/>
          <w:color w:val="1F1B16"/>
        </w:rPr>
        <w:t xml:space="preserve">WTR 1998 / reg.16B, Records relating to annual leave entitlement  </w:t>
      </w:r>
      <w:r>
        <w:rPr>
          <w:b w:val="0"/>
          <w:i w:val="0"/>
          <w:color w:val="1E6B3A"/>
          <w:sz w:val="19"/>
        </w:rPr>
        <w:t>MET</w:t>
      </w:r>
    </w:p>
    <w:p>
      <w:pPr>
        <w:spacing w:after="120"/>
      </w:pPr>
      <w:r>
        <w:rPr>
          <w:b w:val="0"/>
          <w:i w:val="0"/>
          <w:color w:val="6B6358"/>
          <w:sz w:val="17"/>
        </w:rPr>
        <w:t>Criminal offence</w:t>
      </w:r>
      <w:r>
        <w:rPr>
          <w:b w:val="0"/>
          <w:i w:val="0"/>
          <w:color w:val="6B6358"/>
          <w:sz w:val="17"/>
        </w:rPr>
        <w:t xml:space="preserve">  ·  In force from 6 April 2026</w:t>
      </w:r>
    </w:p>
    <w:p>
      <w:pPr>
        <w:spacing w:after="120"/>
      </w:pPr>
      <w:r>
        <w:rPr>
          <w:b w:val="0"/>
          <w:i w:val="0"/>
        </w:rPr>
        <w:t>The employer must keep records adequate to show it has complied with workers' annual leave entitlements and holiday pay requirements, and retain them for six years. Failure is a criminal offence under the Working Time Regulations 1998.</w:t>
      </w:r>
    </w:p>
    <w:p>
      <w:pPr>
        <w:spacing w:after="120"/>
      </w:pPr>
      <w:r>
        <w:rPr>
          <w:b/>
          <w:i w:val="0"/>
        </w:rPr>
        <w:t xml:space="preserve">Assessment: </w:t>
      </w:r>
      <w:r>
        <w:rPr>
          <w:b w:val="0"/>
          <w:i w:val="0"/>
        </w:rPr>
        <w:t>The uploaded extract demonstrates a per-worker holiday record covering entitlement, leave taken, carry-over and holiday pay, held in an HR system that can be produced on request, with a named retention schedule (RS-04) specifying six years from the date records are made, which directly mirrors the reg.16B(1)(b) requirement. The sample data for two employees confirms the record format is operational and the document states records have been maintained since trading began with none deleted.</w:t>
      </w:r>
    </w:p>
    <w:p>
      <w:pPr>
        <w:spacing w:after="40"/>
      </w:pPr>
      <w:r>
        <w:rPr>
          <w:b/>
          <w:i w:val="0"/>
          <w:sz w:val="18"/>
        </w:rPr>
        <w:t>From the client's documents</w:t>
      </w:r>
    </w:p>
    <w:p>
      <w:pPr>
        <w:spacing w:after="20"/>
        <w:ind w:left="227"/>
        <w:pBdr>
          <w:left w:val="single" w:sz="18" w:space="8" w:color="B8AFA2"/>
        </w:pBdr>
      </w:pPr>
      <w:r>
        <w:rPr>
          <w:b w:val="0"/>
          <w:i/>
          <w:color w:val="1F1B16"/>
        </w:rPr>
        <w:t>“Each record shows the worker's entitlement, leave booked and taken, carry-over, and the holiday pay paid for each period of leave. Under retention schedule RS-04, holiday and holiday pay records are kept for six years from the date on which they were made.”</w:t>
      </w:r>
    </w:p>
    <w:p>
      <w:pPr>
        <w:spacing w:after="160"/>
        <w:ind w:left="227"/>
      </w:pPr>
      <w:r>
        <w:rPr>
          <w:b w:val="0"/>
          <w:i w:val="0"/>
          <w:color w:val="6B6358"/>
          <w:sz w:val="17"/>
        </w:rPr>
        <w:t>Hollowmere-Annual-Leave-Records-2026.docx</w:t>
      </w:r>
    </w:p>
    <w:p>
      <w:pPr>
        <w:spacing w:after="20"/>
        <w:ind w:left="227"/>
        <w:pBdr>
          <w:left w:val="single" w:sz="18" w:space="8" w:color="B8AFA2"/>
        </w:pBdr>
      </w:pPr>
      <w:r>
        <w:rPr>
          <w:b w:val="0"/>
          <w:i/>
          <w:color w:val="1F1B16"/>
        </w:rPr>
        <w:t>“Holiday is recorded per worker in the HR system. Manager rota spreadsheets show shift cover only and are not holiday records.”</w:t>
      </w:r>
    </w:p>
    <w:p>
      <w:pPr>
        <w:spacing w:after="160"/>
        <w:ind w:left="227"/>
      </w:pPr>
      <w:r>
        <w:rPr>
          <w:b w:val="0"/>
          <w:i w:val="0"/>
          <w:color w:val="6B6358"/>
          <w:sz w:val="17"/>
        </w:rPr>
        <w:t>Hollowmere-Annual-Leave-Records-2026.docx</w:t>
      </w:r>
    </w:p>
    <w:p>
      <w:pPr>
        <w:spacing w:after="40"/>
      </w:pPr>
      <w:r>
        <w:rPr>
          <w:b/>
          <w:i w:val="0"/>
          <w:sz w:val="18"/>
        </w:rPr>
        <w:t>The legislation</w:t>
      </w:r>
    </w:p>
    <w:p>
      <w:pPr>
        <w:spacing w:after="20"/>
        <w:ind w:left="227"/>
        <w:pBdr>
          <w:left w:val="single" w:sz="18" w:space="8" w:color="7A1F2B"/>
        </w:pBdr>
      </w:pPr>
      <w:r>
        <w:rPr>
          <w:b w:val="0"/>
          <w:i/>
          <w:color w:val="1F1B16"/>
        </w:rPr>
        <w:t>“keep records which are adequate to show whether the employer has complied with the entitlements conferred by regulations 13(1), 13A(1), 15B(2) and 16(1) and the requirements in regulations 14(2) and (6) and 15E(2); b retain such records for six years from the date on which they were made.”</w:t>
      </w:r>
    </w:p>
    <w:p>
      <w:pPr>
        <w:spacing w:after="160"/>
        <w:ind w:left="227"/>
      </w:pPr>
      <w:r>
        <w:rPr>
          <w:b w:val="0"/>
          <w:i w:val="0"/>
          <w:color w:val="6B6358"/>
          <w:sz w:val="17"/>
        </w:rPr>
        <w:t>WTR 1998 / reg.16B, Records relating to annual leave entitlement  ·  https://www.legislation.gov.uk/uksi/1998/1833/regulation/16B</w:t>
      </w:r>
    </w:p>
    <w:p>
      <w:pPr>
        <w:spacing w:after="120"/>
      </w:pPr>
      <w:r>
        <w:rPr>
          <w:b/>
          <w:i w:val="0"/>
          <w:color w:val="6B6358"/>
          <w:sz w:val="17"/>
        </w:rPr>
        <w:t xml:space="preserve">Commencement: </w:t>
      </w:r>
      <w:r>
        <w:rPr>
          <w:b w:val="0"/>
          <w:i w:val="0"/>
          <w:color w:val="6B6358"/>
          <w:sz w:val="17"/>
        </w:rPr>
        <w:t>amended by ERA 2025 / s.35; in force under SI 2026/323 / reg.3 (“Section 35 (duty to keep records relating to annual leave)”).</w:t>
      </w:r>
    </w:p>
    <w:p>
      <w:pPr>
        <w:spacing w:after="40"/>
      </w:pPr>
      <w:r>
        <w:rPr>
          <w:b/>
          <w:i w:val="0"/>
          <w:color w:val="6B6358"/>
          <w:sz w:val="17"/>
        </w:rPr>
        <w:t>Accepted by Priya Castellane on 14 October 2026.</w:t>
      </w:r>
    </w:p>
    <w:p>
      <w:pPr>
        <w:spacing w:after="120"/>
      </w:pPr>
      <w:r>
        <w:rPr>
          <w:b/>
          <w:i w:val="0"/>
          <w:sz w:val="18"/>
        </w:rPr>
        <w:t xml:space="preserve">Adviser note: </w:t>
      </w:r>
      <w:r>
        <w:rPr>
          <w:b w:val="0"/>
          <w:i w:val="0"/>
          <w:sz w:val="18"/>
        </w:rPr>
        <w:t>Records held per worker since trading began in March 2025, with a six-year retention schedule.</w:t>
      </w:r>
    </w:p>
    <w:p>
      <w:pPr>
        <w:spacing w:after="200"/>
      </w:pPr>
    </w:p>
    <w:p>
      <w:pPr>
        <w:pStyle w:val="Heading3"/>
      </w:pPr>
      <w:r>
        <w:rPr>
          <w:b w:val="0"/>
          <w:i w:val="0"/>
          <w:color w:val="1F1B16"/>
        </w:rPr>
        <w:t xml:space="preserve">ERA 1996 / s.8, Itemised pay statement  </w:t>
      </w:r>
      <w:r>
        <w:rPr>
          <w:b w:val="0"/>
          <w:i w:val="0"/>
          <w:color w:val="1E6B3A"/>
          <w:sz w:val="19"/>
        </w:rPr>
        <w:t>MET</w:t>
      </w:r>
    </w:p>
    <w:p>
      <w:pPr>
        <w:spacing w:after="120"/>
      </w:pPr>
      <w:r>
        <w:rPr>
          <w:b w:val="0"/>
          <w:i w:val="0"/>
          <w:color w:val="6B6358"/>
          <w:sz w:val="17"/>
        </w:rPr>
        <w:t>Civil liability (tribunal)</w:t>
      </w:r>
    </w:p>
    <w:p>
      <w:pPr>
        <w:spacing w:after="120"/>
      </w:pPr>
      <w:r>
        <w:rPr>
          <w:b w:val="0"/>
          <w:i w:val="0"/>
        </w:rPr>
        <w:t>The employer must give each employee and worker an itemised pay statement at or before the time wages are paid, showing gross pay, the amount and purpose of each deduction, net pay and, where parts are paid differently, the amount and method of each part-payment.</w:t>
      </w:r>
    </w:p>
    <w:p>
      <w:pPr>
        <w:spacing w:after="120"/>
      </w:pPr>
      <w:r>
        <w:rPr>
          <w:b/>
          <w:i w:val="0"/>
        </w:rPr>
        <w:t xml:space="preserve">Assessment: </w:t>
      </w:r>
      <w:r>
        <w:rPr>
          <w:b w:val="0"/>
          <w:i w:val="0"/>
        </w:rPr>
        <w:t>The uploaded payslip template demonstrates that Hollowmere issues itemised payslips on or before each pay date, showing gross pay broken down by payment type, each deduction with its stated purpose, net pay, and the total hours worked for variable-rate pay, satisfying all elements of s.8 including the post-April 2019 hours requirement. The employee handbook confirms the payslips are distributed through the payroll portal on or before payday and that records are retained for six years.</w:t>
      </w:r>
    </w:p>
    <w:p>
      <w:pPr>
        <w:spacing w:after="40"/>
      </w:pPr>
      <w:r>
        <w:rPr>
          <w:b/>
          <w:i w:val="0"/>
          <w:sz w:val="18"/>
        </w:rPr>
        <w:t>From the client's documents</w:t>
      </w:r>
    </w:p>
    <w:p>
      <w:pPr>
        <w:spacing w:after="20"/>
        <w:ind w:left="227"/>
        <w:pBdr>
          <w:left w:val="single" w:sz="18" w:space="8" w:color="B8AFA2"/>
        </w:pBdr>
      </w:pPr>
      <w:r>
        <w:rPr>
          <w:b w:val="0"/>
          <w:i/>
          <w:color w:val="1F1B16"/>
        </w:rPr>
        <w:t>“Every worker receives a payslip in this layout on or before each pay day through the payroll portal. Issued payslips are retained in the portal for six years.”</w:t>
      </w:r>
    </w:p>
    <w:p>
      <w:pPr>
        <w:spacing w:after="160"/>
        <w:ind w:left="227"/>
      </w:pPr>
      <w:r>
        <w:rPr>
          <w:b w:val="0"/>
          <w:i w:val="0"/>
          <w:color w:val="6B6358"/>
          <w:sz w:val="17"/>
        </w:rPr>
        <w:t>Hollowmere-Payslip-Template.docx</w:t>
      </w:r>
    </w:p>
    <w:p>
      <w:pPr>
        <w:spacing w:after="20"/>
        <w:ind w:left="227"/>
        <w:pBdr>
          <w:left w:val="single" w:sz="18" w:space="8" w:color="B8AFA2"/>
        </w:pBdr>
      </w:pPr>
      <w:r>
        <w:rPr>
          <w:b w:val="0"/>
          <w:i/>
          <w:color w:val="1F1B16"/>
        </w:rPr>
        <w:t>“Total hours worked in this pay period, for which pay varies by the time worked: 142.50 hours.”</w:t>
      </w:r>
    </w:p>
    <w:p>
      <w:pPr>
        <w:spacing w:after="160"/>
        <w:ind w:left="227"/>
      </w:pPr>
      <w:r>
        <w:rPr>
          <w:b w:val="0"/>
          <w:i w:val="0"/>
          <w:color w:val="6B6358"/>
          <w:sz w:val="17"/>
        </w:rPr>
        <w:t>Hollowmere-Payslip-Template.docx</w:t>
      </w:r>
    </w:p>
    <w:p>
      <w:pPr>
        <w:spacing w:after="20"/>
        <w:ind w:left="227"/>
        <w:pBdr>
          <w:left w:val="single" w:sz="18" w:space="8" w:color="B8AFA2"/>
        </w:pBdr>
      </w:pPr>
      <w:r>
        <w:rPr>
          <w:b w:val="0"/>
          <w:i/>
          <w:color w:val="1F1B16"/>
        </w:rPr>
        <w:t>“Deduction | Purpose | Amount</w:t>
        <w:br/>
        <w:br/>
        <w:t>PAYE income tax | Income tax due to HMRC | £162.20</w:t>
        <w:br/>
        <w:br/>
        <w:t>National Insurance | Employee Class 1 contributions | £64.89</w:t>
        <w:br/>
        <w:br/>
        <w:t>Pension | Employee contribution to the workplace pension scheme | £56.36</w:t>
        <w:br/>
        <w:br/>
        <w:t>Uniform | Unreturned apron, by written agreement dated 2 June 2026 | £18.00”</w:t>
      </w:r>
    </w:p>
    <w:p>
      <w:pPr>
        <w:spacing w:after="160"/>
        <w:ind w:left="227"/>
      </w:pPr>
      <w:r>
        <w:rPr>
          <w:b w:val="0"/>
          <w:i w:val="0"/>
          <w:color w:val="6B6358"/>
          <w:sz w:val="17"/>
        </w:rPr>
        <w:t>Hollowmere-Payslip-Template.docx</w:t>
      </w:r>
    </w:p>
    <w:p>
      <w:pPr>
        <w:spacing w:after="20"/>
        <w:ind w:left="227"/>
        <w:pBdr>
          <w:left w:val="single" w:sz="18" w:space="8" w:color="B8AFA2"/>
        </w:pBdr>
      </w:pPr>
      <w:r>
        <w:rPr>
          <w:b w:val="0"/>
          <w:i/>
          <w:color w:val="1F1B16"/>
        </w:rPr>
        <w:t>“You will receive a payslip on or before each payday through our payroll provider's online portal. Your payslip shows your gross pay, the amount and purpose of each deduction, and your net pay.”</w:t>
      </w:r>
    </w:p>
    <w:p>
      <w:pPr>
        <w:spacing w:after="160"/>
        <w:ind w:left="227"/>
      </w:pPr>
      <w:r>
        <w:rPr>
          <w:b w:val="0"/>
          <w:i w:val="0"/>
          <w:color w:val="6B6358"/>
          <w:sz w:val="17"/>
        </w:rPr>
        <w:t>Hollowmere-Employee-Handbook.docx</w:t>
      </w:r>
    </w:p>
    <w:p>
      <w:pPr>
        <w:spacing w:after="40"/>
      </w:pPr>
      <w:r>
        <w:rPr>
          <w:b/>
          <w:i w:val="0"/>
          <w:sz w:val="18"/>
        </w:rPr>
        <w:t>The legislation</w:t>
      </w:r>
    </w:p>
    <w:p>
      <w:pPr>
        <w:spacing w:after="20"/>
        <w:ind w:left="227"/>
        <w:pBdr>
          <w:left w:val="single" w:sz="18" w:space="8" w:color="7A1F2B"/>
        </w:pBdr>
      </w:pPr>
      <w:r>
        <w:rPr>
          <w:b w:val="0"/>
          <w:i/>
          <w:color w:val="1F1B16"/>
        </w:rPr>
        <w:t>“A worker has the right to be given by his employer, at or before the time at which any payment of wages or salary is made to him, a written itemised pay statement.”</w:t>
      </w:r>
    </w:p>
    <w:p>
      <w:pPr>
        <w:spacing w:after="160"/>
        <w:ind w:left="227"/>
      </w:pPr>
      <w:r>
        <w:rPr>
          <w:b w:val="0"/>
          <w:i w:val="0"/>
          <w:color w:val="6B6358"/>
          <w:sz w:val="17"/>
        </w:rPr>
        <w:t>ERA 1996 / s.8, Itemised pay statement  ·  https://www.legislation.gov.uk/ukpga/1996/18/section/8</w:t>
      </w:r>
    </w:p>
    <w:p>
      <w:pPr>
        <w:spacing w:after="40"/>
      </w:pPr>
      <w:r>
        <w:rPr>
          <w:b/>
          <w:i w:val="0"/>
          <w:color w:val="6B6358"/>
          <w:sz w:val="17"/>
        </w:rPr>
        <w:t>Accepted by Priya Castellane on 14 October 2026.</w:t>
      </w:r>
    </w:p>
    <w:p>
      <w:pPr>
        <w:spacing w:after="200"/>
      </w:pPr>
    </w:p>
    <w:p>
      <w:pPr>
        <w:pStyle w:val="Heading1"/>
      </w:pPr>
      <w:r>
        <w:t>Obligations excluded on the assessment date</w:t>
      </w:r>
    </w:p>
    <w:p>
      <w:pPr>
        <w:spacing w:after="200"/>
      </w:pPr>
      <w:r>
        <w:rPr>
          <w:b w:val="0"/>
          <w:i w:val="0"/>
        </w:rPr>
        <w:t>These obligations were considered and do not apply to the client on the assessment date, for the reasons given. An exclusion with a lapse date stops holding on that date if the client's circumstances do not change; reassess before relying on it later.</w:t>
      </w:r>
    </w:p>
    <w:p>
      <w:pPr>
        <w:pStyle w:val="Heading3"/>
      </w:pPr>
      <w:r>
        <w:t>ERA 1996 / s.135</w:t>
      </w:r>
    </w:p>
    <w:p>
      <w:pPr>
        <w:spacing w:after="80"/>
      </w:pPr>
      <w:r>
        <w:rPr>
          <w:b w:val="0"/>
          <w:i w:val="0"/>
        </w:rPr>
        <w:t>The employer must pay a statutory redundancy payment to an employee with at least two years' continuous service who is dismissed by reason of redundancy, calculated from the employee's age, length of service, and weekly pay (subject to the statutory weekly-pay cap).</w:t>
      </w:r>
    </w:p>
    <w:p>
      <w:pPr>
        <w:spacing w:after="60"/>
      </w:pPr>
      <w:r>
        <w:rPr>
          <w:b/>
          <w:i w:val="0"/>
        </w:rPr>
        <w:t xml:space="preserve">Why excluded: </w:t>
      </w:r>
      <w:r>
        <w:rPr>
          <w:b w:val="0"/>
          <w:i w:val="0"/>
        </w:rPr>
        <w:t>The client is not proposing any redundancy dismissals. A redundancy payment is owed only to an employee dismissed by reason of redundancy.</w:t>
      </w:r>
    </w:p>
    <w:p>
      <w:pPr>
        <w:spacing w:after="20"/>
        <w:ind w:left="227"/>
        <w:pBdr>
          <w:left w:val="single" w:sz="18" w:space="8" w:color="B8AFA2"/>
        </w:pBdr>
      </w:pPr>
      <w:r>
        <w:rPr>
          <w:b w:val="0"/>
          <w:i/>
          <w:color w:val="1F1B16"/>
        </w:rPr>
        <w:t>“is dismissed by the employer by reason of redundancy”</w:t>
      </w:r>
    </w:p>
    <w:p>
      <w:pPr>
        <w:spacing w:after="160"/>
        <w:ind w:left="227"/>
      </w:pPr>
      <w:r>
        <w:rPr>
          <w:b w:val="0"/>
          <w:i w:val="0"/>
          <w:color w:val="6B6358"/>
          <w:sz w:val="17"/>
        </w:rPr>
        <w:t>ERA 1996 / s.135</w:t>
      </w:r>
    </w:p>
    <w:p>
      <w:pPr>
        <w:spacing w:after="60"/>
      </w:pPr>
      <w:r>
        <w:rPr>
          <w:b/>
          <w:i w:val="0"/>
        </w:rPr>
        <w:t xml:space="preserve">Why excluded: </w:t>
      </w:r>
      <w:r>
        <w:rPr>
          <w:b w:val="0"/>
          <w:i w:val="0"/>
        </w:rPr>
        <w:t>On 3 October 2026 the qualifying period for statutory redundancy payment (ERA 1996 s.155) is 24 months, measured at the relevant date (broadly, the date the dismissal takes effect). The client's longest-serving current employee has 19 months, so no current employee has this right yet. This exclusion lapses on 3 March 2027 unless the workforce changes.</w:t>
      </w:r>
    </w:p>
    <w:p>
      <w:pPr>
        <w:spacing w:after="60"/>
      </w:pPr>
      <w:r>
        <w:rPr>
          <w:b/>
          <w:i w:val="0"/>
          <w:color w:val="A15C07"/>
        </w:rPr>
        <w:t>Exclusion lapses on 3 March 2027.</w:t>
      </w:r>
    </w:p>
    <w:p>
      <w:pPr>
        <w:spacing w:after="20"/>
        <w:ind w:left="227"/>
        <w:pBdr>
          <w:left w:val="single" w:sz="18" w:space="8" w:color="B8AFA2"/>
        </w:pBdr>
      </w:pPr>
      <w:r>
        <w:rPr>
          <w:b w:val="0"/>
          <w:i/>
          <w:color w:val="1F1B16"/>
        </w:rPr>
        <w:t>“continuously employed for a period of not less than two years ending with the relevant date”</w:t>
      </w:r>
    </w:p>
    <w:p>
      <w:pPr>
        <w:spacing w:after="160"/>
        <w:ind w:left="227"/>
      </w:pPr>
      <w:r>
        <w:rPr>
          <w:b w:val="0"/>
          <w:i w:val="0"/>
          <w:color w:val="6B6358"/>
          <w:sz w:val="17"/>
        </w:rPr>
        <w:t>ERA 1996 / s.155</w:t>
      </w:r>
    </w:p>
    <w:p>
      <w:pPr>
        <w:spacing w:after="120"/>
      </w:pPr>
    </w:p>
    <w:p>
      <w:pPr>
        <w:pStyle w:val="Heading3"/>
      </w:pPr>
      <w:r>
        <w:t>ERA 1996 / s.52</w:t>
      </w:r>
    </w:p>
    <w:p>
      <w:pPr>
        <w:spacing w:after="80"/>
      </w:pPr>
      <w:r>
        <w:rPr>
          <w:b w:val="0"/>
          <w:i w:val="0"/>
        </w:rPr>
        <w:t>Where an employee with at least two years' continuous service is given notice of dismissal by reason of redundancy, the employer must permit reasonable paid time off during the notice period to look for new employment or to arrange training.</w:t>
      </w:r>
    </w:p>
    <w:p>
      <w:pPr>
        <w:spacing w:after="60"/>
      </w:pPr>
      <w:r>
        <w:rPr>
          <w:b/>
          <w:i w:val="0"/>
        </w:rPr>
        <w:t xml:space="preserve">Why excluded: </w:t>
      </w:r>
      <w:r>
        <w:rPr>
          <w:b w:val="0"/>
          <w:i w:val="0"/>
        </w:rPr>
        <w:t>The client is not proposing redundancies and no employee is under notice of dismissal for redundancy, which is what triggers this right.</w:t>
      </w:r>
    </w:p>
    <w:p>
      <w:pPr>
        <w:spacing w:after="20"/>
        <w:ind w:left="227"/>
        <w:pBdr>
          <w:left w:val="single" w:sz="18" w:space="8" w:color="B8AFA2"/>
        </w:pBdr>
      </w:pPr>
      <w:r>
        <w:rPr>
          <w:b w:val="0"/>
          <w:i/>
          <w:color w:val="1F1B16"/>
        </w:rPr>
        <w:t>“An employee who is given notice of dismissal by reason of redundancy”</w:t>
      </w:r>
    </w:p>
    <w:p>
      <w:pPr>
        <w:spacing w:after="160"/>
        <w:ind w:left="227"/>
      </w:pPr>
      <w:r>
        <w:rPr>
          <w:b w:val="0"/>
          <w:i w:val="0"/>
          <w:color w:val="6B6358"/>
          <w:sz w:val="17"/>
        </w:rPr>
        <w:t>ERA 1996 / s.52</w:t>
      </w:r>
    </w:p>
    <w:p>
      <w:pPr>
        <w:spacing w:after="60"/>
      </w:pPr>
      <w:r>
        <w:rPr>
          <w:b/>
          <w:i w:val="0"/>
        </w:rPr>
        <w:t xml:space="preserve">Why excluded: </w:t>
      </w:r>
      <w:r>
        <w:rPr>
          <w:b w:val="0"/>
          <w:i w:val="0"/>
        </w:rPr>
        <w:t>On 3 October 2026 the qualifying period for time off to look for work during redundancy notice (ERA 1996 s.52(2)) is 24 months, measured at the later of the notice expiry date and the statutory notice expiry date. The client's longest-serving current employee has 19 months, so no current employee has this right yet. This exclusion lapses on 3 March 2027 unless the workforce changes.</w:t>
      </w:r>
    </w:p>
    <w:p>
      <w:pPr>
        <w:spacing w:after="60"/>
      </w:pPr>
      <w:r>
        <w:rPr>
          <w:b/>
          <w:i w:val="0"/>
          <w:color w:val="A15C07"/>
        </w:rPr>
        <w:t>Exclusion lapses on 3 March 2027.</w:t>
      </w:r>
    </w:p>
    <w:p>
      <w:pPr>
        <w:spacing w:after="20"/>
        <w:ind w:left="227"/>
        <w:pBdr>
          <w:left w:val="single" w:sz="18" w:space="8" w:color="B8AFA2"/>
        </w:pBdr>
      </w:pPr>
      <w:r>
        <w:rPr>
          <w:b w:val="0"/>
          <w:i/>
          <w:color w:val="1F1B16"/>
        </w:rPr>
        <w:t>“continuously employed for a period of two years or more”</w:t>
      </w:r>
    </w:p>
    <w:p>
      <w:pPr>
        <w:spacing w:after="160"/>
        <w:ind w:left="227"/>
      </w:pPr>
      <w:r>
        <w:rPr>
          <w:b w:val="0"/>
          <w:i w:val="0"/>
          <w:color w:val="6B6358"/>
          <w:sz w:val="17"/>
        </w:rPr>
        <w:t>ERA 1996 / s.52</w:t>
      </w:r>
    </w:p>
    <w:p>
      <w:pPr>
        <w:spacing w:after="120"/>
      </w:pPr>
    </w:p>
    <w:p>
      <w:pPr>
        <w:pStyle w:val="Heading3"/>
      </w:pPr>
      <w:r>
        <w:t>ERA 1996 / s.92</w:t>
      </w:r>
    </w:p>
    <w:p>
      <w:pPr>
        <w:spacing w:after="80"/>
      </w:pPr>
      <w:r>
        <w:rPr>
          <w:b w:val="0"/>
          <w:i w:val="0"/>
        </w:rPr>
        <w:t>On request, the employer must provide a dismissed employee who has the qualifying period of continuous service a written statement of the reasons for their dismissal within fourteen days. An employee dismissed while pregnant or on statutory maternity or adoption leave is entitled to written reasons automatically, without request and regardless of length of service.</w:t>
      </w:r>
    </w:p>
    <w:p>
      <w:pPr>
        <w:spacing w:after="60"/>
      </w:pPr>
      <w:r>
        <w:rPr>
          <w:b/>
          <w:i w:val="0"/>
        </w:rPr>
        <w:t xml:space="preserve">Why excluded: </w:t>
      </w:r>
      <w:r>
        <w:rPr>
          <w:b w:val="0"/>
          <w:i w:val="0"/>
        </w:rPr>
        <w:t>On 3 October 2026 the qualifying period for written statement of reasons for dismissal on request (ERA 1996 s.92(3)) is 24 months, measured at the effective date of termination. The client's longest-serving current employee has 19 months, so no current employee has this right yet. From 1 January 2027 the period becomes 6 months. Applies where the effective date of termination falls on or after 1 January 2027 (SI 2026/559 reg.4(1) lists Sch.3 para.1(2)). This exclusion lapses on 1 January 2027 unless the workforce changes. The exclusion covers the request-based right only. An employee dismissed while pregnant or on statutory maternity or adoption leave is entitled to written reasons without a qualifying period (s.92(4)).</w:t>
      </w:r>
    </w:p>
    <w:p>
      <w:pPr>
        <w:spacing w:after="60"/>
      </w:pPr>
      <w:r>
        <w:rPr>
          <w:b/>
          <w:i w:val="0"/>
          <w:color w:val="A15C07"/>
        </w:rPr>
        <w:t>Exclusion lapses on 1 January 2027.</w:t>
      </w:r>
    </w:p>
    <w:p>
      <w:pPr>
        <w:spacing w:after="20"/>
        <w:ind w:left="227"/>
        <w:pBdr>
          <w:left w:val="single" w:sz="18" w:space="8" w:color="B8AFA2"/>
        </w:pBdr>
      </w:pPr>
      <w:r>
        <w:rPr>
          <w:b w:val="0"/>
          <w:i/>
          <w:color w:val="1F1B16"/>
        </w:rPr>
        <w:t>“continuously employed for a period of not less than two years ending with that date”</w:t>
      </w:r>
    </w:p>
    <w:p>
      <w:pPr>
        <w:spacing w:after="160"/>
        <w:ind w:left="227"/>
      </w:pPr>
      <w:r>
        <w:rPr>
          <w:b w:val="0"/>
          <w:i w:val="0"/>
          <w:color w:val="6B6358"/>
          <w:sz w:val="17"/>
        </w:rPr>
        <w:t>ERA 1996 / s.92</w:t>
      </w:r>
    </w:p>
    <w:p>
      <w:pPr>
        <w:spacing w:after="20"/>
        <w:ind w:left="227"/>
        <w:pBdr>
          <w:left w:val="single" w:sz="18" w:space="8" w:color="B8AFA2"/>
        </w:pBdr>
      </w:pPr>
      <w:r>
        <w:rPr>
          <w:b w:val="0"/>
          <w:i/>
          <w:color w:val="1F1B16"/>
        </w:rPr>
        <w:t>“In section 92 (right to written statement of reasons for dismissal), in subsection (3), for “two years” substitute “six months””</w:t>
      </w:r>
    </w:p>
    <w:p>
      <w:pPr>
        <w:spacing w:after="160"/>
        <w:ind w:left="227"/>
      </w:pPr>
      <w:r>
        <w:rPr>
          <w:b w:val="0"/>
          <w:i w:val="0"/>
          <w:color w:val="6B6358"/>
          <w:sz w:val="17"/>
        </w:rPr>
        <w:t>ERA 2025 / Sch.3 para.1</w:t>
      </w:r>
    </w:p>
    <w:p>
      <w:pPr>
        <w:spacing w:after="120"/>
      </w:pPr>
      <w:r>
        <w:rPr>
          <w:b w:val="0"/>
          <w:i w:val="0"/>
          <w:color w:val="6B6358"/>
          <w:sz w:val="17"/>
        </w:rPr>
        <w:t>Effect: From 1 January 2027 ERA 1996 s.92(3) reads "six months" in place of "two years". (consolidated text not yet updated on legislation.gov.uk)</w:t>
      </w:r>
    </w:p>
    <w:p>
      <w:pPr>
        <w:spacing w:after="20"/>
        <w:ind w:left="227"/>
        <w:pBdr>
          <w:left w:val="single" w:sz="18" w:space="8" w:color="B8AFA2"/>
        </w:pBdr>
      </w:pPr>
      <w:r>
        <w:rPr>
          <w:b w:val="0"/>
          <w:i/>
          <w:color w:val="1F1B16"/>
        </w:rPr>
        <w:t>“Schedule 3 (minor and consequential amendments relating to section 25), to the extent not already in force”</w:t>
      </w:r>
    </w:p>
    <w:p>
      <w:pPr>
        <w:spacing w:after="160"/>
        <w:ind w:left="227"/>
      </w:pPr>
      <w:r>
        <w:rPr>
          <w:b w:val="0"/>
          <w:i w:val="0"/>
          <w:color w:val="6B6358"/>
          <w:sz w:val="17"/>
        </w:rPr>
        <w:t>SI 2026/559 / reg.3</w:t>
      </w:r>
    </w:p>
    <w:p>
      <w:pPr>
        <w:spacing w:after="120"/>
      </w:pPr>
    </w:p>
    <w:p>
      <w:pPr>
        <w:pStyle w:val="Heading3"/>
      </w:pPr>
      <w:r>
        <w:t>ERA 1996 / s.98</w:t>
      </w:r>
    </w:p>
    <w:p>
      <w:pPr>
        <w:spacing w:after="80"/>
      </w:pPr>
      <w:r>
        <w:rPr>
          <w:b w:val="0"/>
          <w:i w:val="0"/>
        </w:rPr>
        <w:t>Where an employee with the qualifying period of service is dismissed, the employer must be able to show the dismissal was for a potentially fair reason (capability, conduct, redundancy, statutory restriction, or some other substantial reason) and that it acted reasonably in treating that reason as sufficient, following a fair procedure.</w:t>
      </w:r>
    </w:p>
    <w:p>
      <w:pPr>
        <w:spacing w:after="60"/>
      </w:pPr>
      <w:r>
        <w:rPr>
          <w:b/>
          <w:i w:val="0"/>
        </w:rPr>
        <w:t xml:space="preserve">Why excluded: </w:t>
      </w:r>
      <w:r>
        <w:rPr>
          <w:b w:val="0"/>
          <w:i w:val="0"/>
        </w:rPr>
        <w:t>On 3 October 2026 the qualifying period for ordinary unfair dismissal (ERA 1996 s.108) is 24 months, measured at the effective date of termination. The client's longest-serving current employee has 19 months, so no current employee has this right yet. From 1 January 2027 the period becomes 6 months. The six-month period applies where the effective date of termination falls on or after 1 January 2027, including where notice of dismissal was given before that date (SI 2026/559 reg.4(1)). This exclusion lapses on 1 January 2027 unless the workforce changes. The exclusion covers ordinary unfair dismissal only. Automatically unfair dismissal for family reasons (s.99), health and safety reasons (s.100) and protected disclosures (s.103A) needs no qualifying period and stays in this report.</w:t>
      </w:r>
    </w:p>
    <w:p>
      <w:pPr>
        <w:spacing w:after="60"/>
      </w:pPr>
      <w:r>
        <w:rPr>
          <w:b/>
          <w:i w:val="0"/>
          <w:color w:val="A15C07"/>
        </w:rPr>
        <w:t>Exclusion lapses on 1 January 2027.</w:t>
      </w:r>
    </w:p>
    <w:p>
      <w:pPr>
        <w:spacing w:after="20"/>
        <w:ind w:left="227"/>
        <w:pBdr>
          <w:left w:val="single" w:sz="18" w:space="8" w:color="B8AFA2"/>
        </w:pBdr>
      </w:pPr>
      <w:r>
        <w:rPr>
          <w:b w:val="0"/>
          <w:i/>
          <w:color w:val="1F1B16"/>
        </w:rPr>
        <w:t>“continuously employed for a period of not less than two years ending with the effective date of termination”</w:t>
      </w:r>
    </w:p>
    <w:p>
      <w:pPr>
        <w:spacing w:after="160"/>
        <w:ind w:left="227"/>
      </w:pPr>
      <w:r>
        <w:rPr>
          <w:b w:val="0"/>
          <w:i w:val="0"/>
          <w:color w:val="6B6358"/>
          <w:sz w:val="17"/>
        </w:rPr>
        <w:t>ERA 1996 / s.108</w:t>
      </w:r>
    </w:p>
    <w:p>
      <w:pPr>
        <w:spacing w:after="20"/>
        <w:ind w:left="227"/>
        <w:pBdr>
          <w:left w:val="single" w:sz="18" w:space="8" w:color="B8AFA2"/>
        </w:pBdr>
      </w:pPr>
      <w:r>
        <w:rPr>
          <w:b w:val="0"/>
          <w:i/>
          <w:color w:val="1F1B16"/>
        </w:rPr>
        <w:t>“in subsection (1), for “two years” substitute “six months””</w:t>
      </w:r>
    </w:p>
    <w:p>
      <w:pPr>
        <w:spacing w:after="160"/>
        <w:ind w:left="227"/>
      </w:pPr>
      <w:r>
        <w:rPr>
          <w:b w:val="0"/>
          <w:i w:val="0"/>
          <w:color w:val="6B6358"/>
          <w:sz w:val="17"/>
        </w:rPr>
        <w:t>ERA 2025 / s.25</w:t>
      </w:r>
    </w:p>
    <w:p>
      <w:pPr>
        <w:spacing w:after="120"/>
      </w:pPr>
      <w:r>
        <w:rPr>
          <w:b w:val="0"/>
          <w:i w:val="0"/>
          <w:color w:val="6B6358"/>
          <w:sz w:val="17"/>
        </w:rPr>
        <w:t>Effect: From 1 January 2027 ERA 1996 s.108(1) reads "six months" in place of "two years". (consolidated text not yet updated on legislation.gov.uk)</w:t>
      </w:r>
    </w:p>
    <w:p>
      <w:pPr>
        <w:spacing w:after="20"/>
        <w:ind w:left="227"/>
        <w:pBdr>
          <w:left w:val="single" w:sz="18" w:space="8" w:color="B8AFA2"/>
        </w:pBdr>
      </w:pPr>
      <w:r>
        <w:rPr>
          <w:b w:val="0"/>
          <w:i/>
          <w:color w:val="1F1B16"/>
        </w:rPr>
        <w:t>“come into force on 1st January 2027”</w:t>
      </w:r>
    </w:p>
    <w:p>
      <w:pPr>
        <w:spacing w:after="160"/>
        <w:ind w:left="227"/>
      </w:pPr>
      <w:r>
        <w:rPr>
          <w:b w:val="0"/>
          <w:i w:val="0"/>
          <w:color w:val="6B6358"/>
          <w:sz w:val="17"/>
        </w:rPr>
        <w:t>SI 2026/559 / reg.3</w:t>
      </w:r>
    </w:p>
    <w:p>
      <w:pPr>
        <w:spacing w:after="120"/>
      </w:pPr>
    </w:p>
    <w:p>
      <w:pPr>
        <w:pStyle w:val="Heading3"/>
      </w:pPr>
      <w:r>
        <w:t>TULRCA 1992 / s.189</w:t>
      </w:r>
    </w:p>
    <w:p>
      <w:pPr>
        <w:spacing w:after="80"/>
      </w:pPr>
      <w:r>
        <w:rPr>
          <w:b w:val="0"/>
          <w:i w:val="0"/>
        </w:rPr>
        <w:t>Where the employer proposes to dismiss as redundant 20 or more employees at one establishment within 90 days, it must consult appropriate employee representatives. Failing to do so now exposes it to a protective award of up to 180 days' pay per affected employee, doubled from 90 days.</w:t>
      </w:r>
    </w:p>
    <w:p>
      <w:pPr>
        <w:spacing w:after="60"/>
      </w:pPr>
      <w:r>
        <w:rPr>
          <w:b/>
          <w:i w:val="0"/>
        </w:rPr>
        <w:t xml:space="preserve">Why excluded: </w:t>
      </w:r>
      <w:r>
        <w:rPr>
          <w:b w:val="0"/>
          <w:i w:val="0"/>
        </w:rPr>
        <w:t>The client is not proposing any redundancy dismissals, so the collective consultation duty is not engaged.</w:t>
      </w:r>
    </w:p>
    <w:p>
      <w:pPr>
        <w:spacing w:after="20"/>
        <w:ind w:left="227"/>
        <w:pBdr>
          <w:left w:val="single" w:sz="18" w:space="8" w:color="B8AFA2"/>
        </w:pBdr>
      </w:pPr>
      <w:r>
        <w:rPr>
          <w:b w:val="0"/>
          <w:i/>
          <w:color w:val="1F1B16"/>
        </w:rPr>
        <w:t>“Where an employer is proposing to dismiss as redundant 20 or more employees at one establishment within a period of 90 days or less”</w:t>
      </w:r>
    </w:p>
    <w:p>
      <w:pPr>
        <w:spacing w:after="160"/>
        <w:ind w:left="227"/>
      </w:pPr>
      <w:r>
        <w:rPr>
          <w:b w:val="0"/>
          <w:i w:val="0"/>
          <w:color w:val="6B6358"/>
          <w:sz w:val="17"/>
        </w:rPr>
        <w:t>TULRCA 1992 / s.188</w:t>
      </w:r>
    </w:p>
    <w:p>
      <w:pPr>
        <w:spacing w:after="60"/>
      </w:pPr>
      <w:r>
        <w:rPr>
          <w:b/>
          <w:i w:val="0"/>
        </w:rPr>
        <w:t xml:space="preserve">Why excluded: </w:t>
      </w:r>
      <w:r>
        <w:rPr>
          <w:b w:val="0"/>
          <w:i w:val="0"/>
        </w:rPr>
        <w:t>The client is not proposing to dismiss as redundant 20 or more employees at one establishment within 90 days, the threshold for collective consultation.</w:t>
      </w:r>
    </w:p>
    <w:p>
      <w:pPr>
        <w:spacing w:after="20"/>
        <w:ind w:left="227"/>
        <w:pBdr>
          <w:left w:val="single" w:sz="18" w:space="8" w:color="B8AFA2"/>
        </w:pBdr>
      </w:pPr>
      <w:r>
        <w:rPr>
          <w:b w:val="0"/>
          <w:i/>
          <w:color w:val="1F1B16"/>
        </w:rPr>
        <w:t>“20 or more employees at one establishment within a period of 90 days or less”</w:t>
      </w:r>
    </w:p>
    <w:p>
      <w:pPr>
        <w:spacing w:after="160"/>
        <w:ind w:left="227"/>
      </w:pPr>
      <w:r>
        <w:rPr>
          <w:b w:val="0"/>
          <w:i w:val="0"/>
          <w:color w:val="6B6358"/>
          <w:sz w:val="17"/>
        </w:rPr>
        <w:t>TULRCA 1992 / s.188</w:t>
      </w:r>
    </w:p>
    <w:p>
      <w:pPr>
        <w:spacing w:after="120"/>
      </w:pPr>
    </w:p>
    <w:p>
      <w:pPr>
        <w:pStyle w:val="Heading1"/>
      </w:pPr>
      <w:r>
        <w:t>Appendix: Employment Rights Act 2025 provisions not assessed</w:t>
      </w:r>
    </w:p>
    <w:p>
      <w:pPr>
        <w:spacing w:after="160"/>
      </w:pPr>
      <w:r>
        <w:rPr>
          <w:b w:val="0"/>
          <w:i w:val="0"/>
        </w:rPr>
        <w:t>These provisions of the Employment Rights Act 2025 were not assessed in this report. Most are not yet in force. Dates are given only where commencement has been verified.</w:t>
      </w:r>
    </w:p>
    <w:tbl>
      <w:tblPr>
        <w:tblStyle w:val="TableGrid"/>
        <w:tblW w:type="auto" w:w="0"/>
        <w:tblLook w:firstColumn="1" w:firstRow="1" w:lastColumn="0" w:lastRow="0" w:noHBand="0" w:noVBand="1" w:val="04A0"/>
      </w:tblPr>
      <w:tblGrid>
        <w:gridCol w:w="3137"/>
        <w:gridCol w:w="3137"/>
        <w:gridCol w:w="3137"/>
      </w:tblGrid>
      <w:tr>
        <w:tc>
          <w:tcPr>
            <w:tcW w:type="dxa" w:w="3137"/>
            <w:shd w:val="clear" w:color="auto" w:fill="F4EFE6"/>
          </w:tcPr>
          <w:p>
            <w:r>
              <w:rPr>
                <w:b/>
                <w:i w:val="0"/>
                <w:sz w:val="18"/>
              </w:rPr>
              <w:t>Provision</w:t>
            </w:r>
          </w:p>
        </w:tc>
        <w:tc>
          <w:tcPr>
            <w:tcW w:type="dxa" w:w="3137"/>
            <w:shd w:val="clear" w:color="auto" w:fill="F4EFE6"/>
          </w:tcPr>
          <w:p>
            <w:r>
              <w:rPr>
                <w:b/>
                <w:i w:val="0"/>
                <w:sz w:val="18"/>
              </w:rPr>
              <w:t>What it does</w:t>
            </w:r>
          </w:p>
        </w:tc>
        <w:tc>
          <w:tcPr>
            <w:tcW w:type="dxa" w:w="3137"/>
            <w:shd w:val="clear" w:color="auto" w:fill="F4EFE6"/>
          </w:tcPr>
          <w:p>
            <w:r>
              <w:rPr>
                <w:b/>
                <w:i w:val="0"/>
                <w:sz w:val="18"/>
              </w:rPr>
              <w:t>Status</w:t>
            </w:r>
          </w:p>
        </w:tc>
      </w:tr>
      <w:tr>
        <w:tc>
          <w:tcPr>
            <w:tcW w:type="dxa" w:w="1701"/>
          </w:tcPr>
          <w:p>
            <w:r>
              <w:rPr>
                <w:b w:val="0"/>
                <w:i w:val="0"/>
                <w:sz w:val="18"/>
              </w:rPr>
              <w:t>ERA 2025 ss.1 to 4</w:t>
            </w:r>
          </w:p>
        </w:tc>
        <w:tc>
          <w:tcPr>
            <w:tcW w:type="dxa" w:w="5102"/>
          </w:tcPr>
          <w:p>
            <w:r>
              <w:rPr>
                <w:b w:val="0"/>
                <w:i w:val="0"/>
                <w:sz w:val="18"/>
              </w:rPr>
              <w:t>Guaranteed hours offers, reasonable notice of shifts and payment for cancelled, moved or curtailed shifts for zero-hours and low-hours workers.</w:t>
            </w:r>
          </w:p>
        </w:tc>
        <w:tc>
          <w:tcPr>
            <w:tcW w:type="dxa" w:w="2494"/>
          </w:tcPr>
          <w:p>
            <w:r>
              <w:rPr>
                <w:b w:val="0"/>
                <w:i w:val="0"/>
                <w:color w:val="6B6358"/>
                <w:sz w:val="17"/>
              </w:rPr>
              <w:t>Not yet in force. Not assessed.</w:t>
            </w:r>
          </w:p>
        </w:tc>
      </w:tr>
      <w:tr>
        <w:tc>
          <w:tcPr>
            <w:tcW w:type="dxa" w:w="1701"/>
          </w:tcPr>
          <w:p>
            <w:r>
              <w:rPr>
                <w:b w:val="0"/>
                <w:i w:val="0"/>
                <w:sz w:val="18"/>
              </w:rPr>
              <w:t>ERA 2025 s.9</w:t>
            </w:r>
          </w:p>
        </w:tc>
        <w:tc>
          <w:tcPr>
            <w:tcW w:type="dxa" w:w="5102"/>
          </w:tcPr>
          <w:p>
            <w:r>
              <w:rPr>
                <w:b w:val="0"/>
                <w:i w:val="0"/>
                <w:sz w:val="18"/>
              </w:rPr>
              <w:t>Flexible working requests may be refused only where refusal is reasonable on a statutory ground.</w:t>
            </w:r>
          </w:p>
        </w:tc>
        <w:tc>
          <w:tcPr>
            <w:tcW w:type="dxa" w:w="2494"/>
          </w:tcPr>
          <w:p>
            <w:r>
              <w:rPr>
                <w:b w:val="0"/>
                <w:i w:val="0"/>
                <w:color w:val="6B6358"/>
                <w:sz w:val="17"/>
              </w:rPr>
              <w:t>Not yet in force. Not assessed.</w:t>
            </w:r>
          </w:p>
        </w:tc>
      </w:tr>
      <w:tr>
        <w:tc>
          <w:tcPr>
            <w:tcW w:type="dxa" w:w="1701"/>
          </w:tcPr>
          <w:p>
            <w:r>
              <w:rPr>
                <w:b w:val="0"/>
                <w:i w:val="0"/>
                <w:sz w:val="18"/>
              </w:rPr>
              <w:t>ERA 2025 s.14</w:t>
            </w:r>
          </w:p>
        </w:tc>
        <w:tc>
          <w:tcPr>
            <w:tcW w:type="dxa" w:w="5102"/>
          </w:tcPr>
          <w:p>
            <w:r>
              <w:rPr>
                <w:b w:val="0"/>
                <w:i w:val="0"/>
                <w:sz w:val="18"/>
              </w:rPr>
              <w:t>Employers must consult workers or their representatives before producing a tips allocation policy, and review it.</w:t>
            </w:r>
          </w:p>
        </w:tc>
        <w:tc>
          <w:tcPr>
            <w:tcW w:type="dxa" w:w="2494"/>
          </w:tcPr>
          <w:p>
            <w:r>
              <w:rPr>
                <w:b w:val="0"/>
                <w:i w:val="0"/>
                <w:color w:val="6B6358"/>
                <w:sz w:val="17"/>
              </w:rPr>
              <w:t>Not yet in force. Not assessed.</w:t>
            </w:r>
          </w:p>
        </w:tc>
      </w:tr>
      <w:tr>
        <w:tc>
          <w:tcPr>
            <w:tcW w:type="dxa" w:w="1701"/>
          </w:tcPr>
          <w:p>
            <w:r>
              <w:rPr>
                <w:b w:val="0"/>
                <w:i w:val="0"/>
                <w:sz w:val="18"/>
              </w:rPr>
              <w:t>ERA 2025 s.18</w:t>
            </w:r>
          </w:p>
        </w:tc>
        <w:tc>
          <w:tcPr>
            <w:tcW w:type="dxa" w:w="5102"/>
          </w:tcPr>
          <w:p>
            <w:r>
              <w:rPr>
                <w:b w:val="0"/>
                <w:i w:val="0"/>
                <w:sz w:val="18"/>
              </w:rPr>
              <w:t>Parental bereavement leave becomes bereavement leave, available to a wider range of bereaved employees.</w:t>
            </w:r>
          </w:p>
        </w:tc>
        <w:tc>
          <w:tcPr>
            <w:tcW w:type="dxa" w:w="2494"/>
          </w:tcPr>
          <w:p>
            <w:r>
              <w:rPr>
                <w:b w:val="0"/>
                <w:i w:val="0"/>
                <w:color w:val="6B6358"/>
                <w:sz w:val="17"/>
              </w:rPr>
              <w:t>Not yet in force. Not assessed.</w:t>
            </w:r>
          </w:p>
        </w:tc>
      </w:tr>
      <w:tr>
        <w:tc>
          <w:tcPr>
            <w:tcW w:type="dxa" w:w="1701"/>
          </w:tcPr>
          <w:p>
            <w:r>
              <w:rPr>
                <w:b w:val="0"/>
                <w:i w:val="0"/>
                <w:sz w:val="18"/>
              </w:rPr>
              <w:t>ERA 2025 s.20</w:t>
            </w:r>
          </w:p>
        </w:tc>
        <w:tc>
          <w:tcPr>
            <w:tcW w:type="dxa" w:w="5102"/>
          </w:tcPr>
          <w:p>
            <w:r>
              <w:rPr>
                <w:b w:val="0"/>
                <w:i w:val="0"/>
                <w:sz w:val="18"/>
              </w:rPr>
              <w:t>The duty to take reasonable steps to prevent sexual harassment of employees becomes a duty to take all reasonable steps (Equality Act 2010 s.40A).</w:t>
            </w:r>
          </w:p>
        </w:tc>
        <w:tc>
          <w:tcPr>
            <w:tcW w:type="dxa" w:w="2494"/>
          </w:tcPr>
          <w:p>
            <w:r>
              <w:rPr>
                <w:b w:val="0"/>
                <w:i w:val="0"/>
                <w:color w:val="6B6358"/>
                <w:sz w:val="17"/>
              </w:rPr>
              <w:t>Not yet in force. Not assessed.</w:t>
            </w:r>
          </w:p>
        </w:tc>
      </w:tr>
      <w:tr>
        <w:tc>
          <w:tcPr>
            <w:tcW w:type="dxa" w:w="1701"/>
          </w:tcPr>
          <w:p>
            <w:r>
              <w:rPr>
                <w:b w:val="0"/>
                <w:i w:val="0"/>
                <w:sz w:val="18"/>
              </w:rPr>
              <w:t>ERA 2025 s.21</w:t>
            </w:r>
          </w:p>
        </w:tc>
        <w:tc>
          <w:tcPr>
            <w:tcW w:type="dxa" w:w="5102"/>
          </w:tcPr>
          <w:p>
            <w:r>
              <w:rPr>
                <w:b w:val="0"/>
                <w:i w:val="0"/>
                <w:sz w:val="18"/>
              </w:rPr>
              <w:t>Employers must not permit third parties to harass their employees, which turns on whether they took all reasonable steps (Equality Act 2010 s.40).</w:t>
            </w:r>
          </w:p>
        </w:tc>
        <w:tc>
          <w:tcPr>
            <w:tcW w:type="dxa" w:w="2494"/>
          </w:tcPr>
          <w:p>
            <w:r>
              <w:rPr>
                <w:b w:val="0"/>
                <w:i w:val="0"/>
                <w:color w:val="6B6358"/>
                <w:sz w:val="17"/>
              </w:rPr>
              <w:t>Not yet in force. Not assessed.</w:t>
            </w:r>
          </w:p>
        </w:tc>
      </w:tr>
      <w:tr>
        <w:tc>
          <w:tcPr>
            <w:tcW w:type="dxa" w:w="1701"/>
          </w:tcPr>
          <w:p>
            <w:r>
              <w:rPr>
                <w:b w:val="0"/>
                <w:i w:val="0"/>
                <w:sz w:val="18"/>
              </w:rPr>
              <w:t>ERA 2025 s.24</w:t>
            </w:r>
          </w:p>
        </w:tc>
        <w:tc>
          <w:tcPr>
            <w:tcW w:type="dxa" w:w="5102"/>
          </w:tcPr>
          <w:p>
            <w:r>
              <w:rPr>
                <w:b w:val="0"/>
                <w:i w:val="0"/>
                <w:sz w:val="18"/>
              </w:rPr>
              <w:t>Contract terms that stop workers speaking about harassment or discrimination become void, subject to exceptions.</w:t>
            </w:r>
          </w:p>
        </w:tc>
        <w:tc>
          <w:tcPr>
            <w:tcW w:type="dxa" w:w="2494"/>
          </w:tcPr>
          <w:p>
            <w:r>
              <w:rPr>
                <w:b w:val="0"/>
                <w:i w:val="0"/>
                <w:color w:val="6B6358"/>
                <w:sz w:val="17"/>
              </w:rPr>
              <w:t>Not yet in force. Not assessed.</w:t>
            </w:r>
          </w:p>
        </w:tc>
      </w:tr>
      <w:tr>
        <w:tc>
          <w:tcPr>
            <w:tcW w:type="dxa" w:w="1701"/>
          </w:tcPr>
          <w:p>
            <w:r>
              <w:rPr>
                <w:b w:val="0"/>
                <w:i w:val="0"/>
                <w:sz w:val="18"/>
              </w:rPr>
              <w:t>ERA 2025 s.28</w:t>
            </w:r>
          </w:p>
        </w:tc>
        <w:tc>
          <w:tcPr>
            <w:tcW w:type="dxa" w:w="5102"/>
          </w:tcPr>
          <w:p>
            <w:r>
              <w:rPr>
                <w:b w:val="0"/>
                <w:i w:val="0"/>
                <w:sz w:val="18"/>
              </w:rPr>
              <w:t>Dismissal for refusing a restricted contract variation, or to re-engage on varied terms, becomes automatically unfair.</w:t>
            </w:r>
          </w:p>
        </w:tc>
        <w:tc>
          <w:tcPr>
            <w:tcW w:type="dxa" w:w="2494"/>
          </w:tcPr>
          <w:p>
            <w:r>
              <w:rPr>
                <w:b w:val="0"/>
                <w:i w:val="0"/>
                <w:color w:val="6B6358"/>
                <w:sz w:val="17"/>
              </w:rPr>
              <w:t>Not yet in force. Not assessed.</w:t>
            </w:r>
          </w:p>
        </w:tc>
      </w:tr>
      <w:tr>
        <w:tc>
          <w:tcPr>
            <w:tcW w:type="dxa" w:w="1701"/>
          </w:tcPr>
          <w:p>
            <w:r>
              <w:rPr>
                <w:b w:val="0"/>
                <w:i w:val="0"/>
                <w:sz w:val="18"/>
              </w:rPr>
              <w:t>ERA 2025 s.29</w:t>
            </w:r>
          </w:p>
        </w:tc>
        <w:tc>
          <w:tcPr>
            <w:tcW w:type="dxa" w:w="5102"/>
          </w:tcPr>
          <w:p>
            <w:r>
              <w:rPr>
                <w:b w:val="0"/>
                <w:i w:val="0"/>
                <w:sz w:val="18"/>
              </w:rPr>
              <w:t>Collective consultation also applies when a business-wide threshold number of redundancies is proposed, not only 20 or more at one establishment.</w:t>
            </w:r>
          </w:p>
        </w:tc>
        <w:tc>
          <w:tcPr>
            <w:tcW w:type="dxa" w:w="2494"/>
          </w:tcPr>
          <w:p>
            <w:r>
              <w:rPr>
                <w:b w:val="0"/>
                <w:i w:val="0"/>
                <w:color w:val="6B6358"/>
                <w:sz w:val="17"/>
              </w:rPr>
              <w:t>Not yet in force. Not assessed.</w:t>
            </w:r>
          </w:p>
        </w:tc>
      </w:tr>
      <w:tr>
        <w:tc>
          <w:tcPr>
            <w:tcW w:type="dxa" w:w="1701"/>
          </w:tcPr>
          <w:p>
            <w:r>
              <w:rPr>
                <w:b w:val="0"/>
                <w:i w:val="0"/>
                <w:sz w:val="18"/>
              </w:rPr>
              <w:t>ERA 2025 s.58</w:t>
            </w:r>
          </w:p>
        </w:tc>
        <w:tc>
          <w:tcPr>
            <w:tcW w:type="dxa" w:w="5102"/>
          </w:tcPr>
          <w:p>
            <w:r>
              <w:rPr>
                <w:b w:val="0"/>
                <w:i w:val="0"/>
                <w:sz w:val="18"/>
              </w:rPr>
              <w:t>Employers must give workers a written statement of their right to join a trade union.</w:t>
            </w:r>
          </w:p>
        </w:tc>
        <w:tc>
          <w:tcPr>
            <w:tcW w:type="dxa" w:w="2494"/>
          </w:tcPr>
          <w:p>
            <w:r>
              <w:rPr>
                <w:b w:val="0"/>
                <w:i w:val="0"/>
                <w:color w:val="6B6358"/>
                <w:sz w:val="17"/>
              </w:rPr>
              <w:t>Not yet in force. Not assessed.</w:t>
            </w:r>
          </w:p>
        </w:tc>
      </w:tr>
      <w:tr>
        <w:tc>
          <w:tcPr>
            <w:tcW w:type="dxa" w:w="1701"/>
          </w:tcPr>
          <w:p>
            <w:r>
              <w:rPr>
                <w:b w:val="0"/>
                <w:i w:val="0"/>
                <w:sz w:val="18"/>
              </w:rPr>
              <w:t>ERA 2025 s.8</w:t>
            </w:r>
          </w:p>
        </w:tc>
        <w:tc>
          <w:tcPr>
            <w:tcW w:type="dxa" w:w="5102"/>
          </w:tcPr>
          <w:p>
            <w:r>
              <w:rPr>
                <w:b w:val="0"/>
                <w:i w:val="0"/>
                <w:sz w:val="18"/>
              </w:rPr>
              <w:t>Extends the power to make exclusivity terms in zero-hours arrangements unenforceable to contractual arrangements.</w:t>
            </w:r>
          </w:p>
        </w:tc>
        <w:tc>
          <w:tcPr>
            <w:tcW w:type="dxa" w:w="2494"/>
          </w:tcPr>
          <w:p>
            <w:r>
              <w:rPr>
                <w:b w:val="0"/>
                <w:i w:val="0"/>
                <w:color w:val="6B6358"/>
                <w:sz w:val="17"/>
              </w:rPr>
              <w:t>In force as an enabling power. Not assessed. In force 6 January 2026 (SI 2026/3 reg.2(5)).</w:t>
            </w:r>
          </w:p>
        </w:tc>
      </w:tr>
      <w:tr>
        <w:tc>
          <w:tcPr>
            <w:tcW w:type="dxa" w:w="1701"/>
          </w:tcPr>
          <w:p>
            <w:r>
              <w:rPr>
                <w:b w:val="0"/>
                <w:i w:val="0"/>
                <w:sz w:val="18"/>
              </w:rPr>
              <w:t>ERA 2025 s.26</w:t>
            </w:r>
          </w:p>
        </w:tc>
        <w:tc>
          <w:tcPr>
            <w:tcW w:type="dxa" w:w="5102"/>
          </w:tcPr>
          <w:p>
            <w:r>
              <w:rPr>
                <w:b w:val="0"/>
                <w:i w:val="0"/>
                <w:sz w:val="18"/>
              </w:rPr>
              <w:t>Power to make regulations about dismissal during or after a protected period of pregnancy.</w:t>
            </w:r>
          </w:p>
        </w:tc>
        <w:tc>
          <w:tcPr>
            <w:tcW w:type="dxa" w:w="2494"/>
          </w:tcPr>
          <w:p>
            <w:r>
              <w:rPr>
                <w:b w:val="0"/>
                <w:i w:val="0"/>
                <w:color w:val="6B6358"/>
                <w:sz w:val="17"/>
              </w:rPr>
              <w:t>In force as an enabling power. Not assessed. In force 6 January 2026 (SI 2026/3 reg.2(11)).</w:t>
            </w:r>
          </w:p>
        </w:tc>
      </w:tr>
      <w:tr>
        <w:tc>
          <w:tcPr>
            <w:tcW w:type="dxa" w:w="1701"/>
          </w:tcPr>
          <w:p>
            <w:r>
              <w:rPr>
                <w:b w:val="0"/>
                <w:i w:val="0"/>
                <w:sz w:val="18"/>
              </w:rPr>
              <w:t>ERA 2025 s.27</w:t>
            </w:r>
          </w:p>
        </w:tc>
        <w:tc>
          <w:tcPr>
            <w:tcW w:type="dxa" w:w="5102"/>
          </w:tcPr>
          <w:p>
            <w:r>
              <w:rPr>
                <w:b w:val="0"/>
                <w:i w:val="0"/>
                <w:sz w:val="18"/>
              </w:rPr>
              <w:t>Extends regulation-making powers on redundancy and dismissal to the period after maternity, adoption, shared parental and neonatal leave.</w:t>
            </w:r>
          </w:p>
        </w:tc>
        <w:tc>
          <w:tcPr>
            <w:tcW w:type="dxa" w:w="2494"/>
          </w:tcPr>
          <w:p>
            <w:r>
              <w:rPr>
                <w:b w:val="0"/>
                <w:i w:val="0"/>
                <w:color w:val="6B6358"/>
                <w:sz w:val="17"/>
              </w:rPr>
              <w:t>In force as an enabling power. Not assessed. In force 6 April 2026 (SI 2026/323 reg.3(4)).</w:t>
            </w:r>
          </w:p>
        </w:tc>
      </w:tr>
      <w:tr>
        <w:tc>
          <w:tcPr>
            <w:tcW w:type="dxa" w:w="1701"/>
          </w:tcPr>
          <w:p>
            <w:r>
              <w:rPr>
                <w:b w:val="0"/>
                <w:i w:val="0"/>
                <w:sz w:val="18"/>
              </w:rPr>
              <w:t>ERA 2025 s.33</w:t>
            </w:r>
          </w:p>
        </w:tc>
        <w:tc>
          <w:tcPr>
            <w:tcW w:type="dxa" w:w="5102"/>
          </w:tcPr>
          <w:p>
            <w:r>
              <w:rPr>
                <w:b w:val="0"/>
                <w:i w:val="0"/>
                <w:sz w:val="18"/>
              </w:rPr>
              <w:t>Power to require employers with 250 or more employees to publish equality action plans.</w:t>
            </w:r>
          </w:p>
        </w:tc>
        <w:tc>
          <w:tcPr>
            <w:tcW w:type="dxa" w:w="2494"/>
          </w:tcPr>
          <w:p>
            <w:r>
              <w:rPr>
                <w:b w:val="0"/>
                <w:i w:val="0"/>
                <w:color w:val="6B6358"/>
                <w:sz w:val="17"/>
              </w:rPr>
              <w:t>In force as an enabling power. Not assessed. In force 6 April 2026 (SI 2026/323 reg.3(7)).</w:t>
            </w:r>
          </w:p>
        </w:tc>
      </w:tr>
      <w:tr>
        <w:tc>
          <w:tcPr>
            <w:tcW w:type="dxa" w:w="1701"/>
          </w:tcPr>
          <w:p>
            <w:r>
              <w:rPr>
                <w:b w:val="0"/>
                <w:i w:val="0"/>
                <w:sz w:val="18"/>
              </w:rPr>
              <w:t>ERA 2025 s.17</w:t>
            </w:r>
          </w:p>
        </w:tc>
        <w:tc>
          <w:tcPr>
            <w:tcW w:type="dxa" w:w="5102"/>
          </w:tcPr>
          <w:p>
            <w:r>
              <w:rPr>
                <w:b w:val="0"/>
                <w:i w:val="0"/>
                <w:sz w:val="18"/>
              </w:rPr>
              <w:t>Paternity leave may be taken after shared parental leave.</w:t>
            </w:r>
          </w:p>
        </w:tc>
        <w:tc>
          <w:tcPr>
            <w:tcW w:type="dxa" w:w="2494"/>
          </w:tcPr>
          <w:p>
            <w:r>
              <w:rPr>
                <w:b w:val="0"/>
                <w:i w:val="0"/>
                <w:color w:val="6B6358"/>
                <w:sz w:val="17"/>
              </w:rPr>
              <w:t>In force. Not assessed. In force 6 April 2026 (SI 2026/3 reg.4(4)).</w:t>
            </w:r>
          </w:p>
        </w:tc>
      </w:tr>
      <w:tr>
        <w:tc>
          <w:tcPr>
            <w:tcW w:type="dxa" w:w="1701"/>
          </w:tcPr>
          <w:p>
            <w:r>
              <w:rPr>
                <w:b w:val="0"/>
                <w:i w:val="0"/>
                <w:sz w:val="18"/>
              </w:rPr>
              <w:t>ERA 2025 s.152</w:t>
            </w:r>
          </w:p>
        </w:tc>
        <w:tc>
          <w:tcPr>
            <w:tcW w:type="dxa" w:w="5102"/>
          </w:tcPr>
          <w:p>
            <w:r>
              <w:rPr>
                <w:b w:val="0"/>
                <w:i w:val="0"/>
                <w:sz w:val="18"/>
              </w:rPr>
              <w:t>Time limits for most employment tribunal claims extended from three months to six months.</w:t>
            </w:r>
          </w:p>
        </w:tc>
        <w:tc>
          <w:tcPr>
            <w:tcW w:type="dxa" w:w="2494"/>
          </w:tcPr>
          <w:p>
            <w:r>
              <w:rPr>
                <w:b w:val="0"/>
                <w:i w:val="0"/>
                <w:color w:val="6B6358"/>
                <w:sz w:val="17"/>
              </w:rPr>
              <w:t>In force. Not assessed. In force 1 October 2026 (SI 2026/954 reg.3).</w:t>
            </w:r>
          </w:p>
        </w:tc>
      </w:tr>
    </w:tbl>
    <w:p>
      <w:pPr>
        <w:pStyle w:val="Heading1"/>
      </w:pPr>
      <w:r>
        <w:t>Method, inputs and limitations</w:t>
      </w:r>
    </w:p>
    <w:tbl>
      <w:tblPr>
        <w:tblStyle w:val="TableGrid"/>
        <w:tblW w:type="auto" w:w="0"/>
        <w:tblLook w:firstColumn="1" w:firstRow="1" w:lastColumn="0" w:lastRow="0" w:noHBand="0" w:noVBand="1" w:val="04A0"/>
      </w:tblPr>
      <w:tblGrid>
        <w:gridCol w:w="4706"/>
        <w:gridCol w:w="4706"/>
      </w:tblGrid>
      <w:tr>
        <w:tc>
          <w:tcPr>
            <w:tcW w:type="dxa" w:w="2381"/>
          </w:tcPr>
          <w:p>
            <w:r>
              <w:rPr>
                <w:b/>
                <w:i w:val="0"/>
                <w:sz w:val="18"/>
              </w:rPr>
              <w:t>Assessment date</w:t>
            </w:r>
          </w:p>
        </w:tc>
        <w:tc>
          <w:tcPr>
            <w:tcW w:type="dxa" w:w="6917"/>
          </w:tcPr>
          <w:p>
            <w:r>
              <w:rPr>
                <w:b w:val="0"/>
                <w:i w:val="0"/>
                <w:sz w:val="18"/>
              </w:rPr>
              <w:t>3 October 2026</w:t>
            </w:r>
          </w:p>
        </w:tc>
      </w:tr>
      <w:tr>
        <w:tc>
          <w:tcPr>
            <w:tcW w:type="dxa" w:w="2381"/>
          </w:tcPr>
          <w:p>
            <w:r>
              <w:rPr>
                <w:b/>
                <w:i w:val="0"/>
                <w:sz w:val="18"/>
              </w:rPr>
              <w:t>Report generated</w:t>
            </w:r>
          </w:p>
        </w:tc>
        <w:tc>
          <w:tcPr>
            <w:tcW w:type="dxa" w:w="6917"/>
          </w:tcPr>
          <w:p>
            <w:r>
              <w:rPr>
                <w:b w:val="0"/>
                <w:i w:val="0"/>
                <w:sz w:val="18"/>
              </w:rPr>
              <w:t>14 October 2026</w:t>
            </w:r>
          </w:p>
        </w:tc>
      </w:tr>
      <w:tr>
        <w:tc>
          <w:tcPr>
            <w:tcW w:type="dxa" w:w="2381"/>
          </w:tcPr>
          <w:p>
            <w:r>
              <w:rPr>
                <w:b/>
                <w:i w:val="0"/>
                <w:sz w:val="18"/>
              </w:rPr>
              <w:t>Intake answered by</w:t>
            </w:r>
          </w:p>
        </w:tc>
        <w:tc>
          <w:tcPr>
            <w:tcW w:type="dxa" w:w="6917"/>
          </w:tcPr>
          <w:p>
            <w:r>
              <w:rPr>
                <w:b w:val="0"/>
                <w:i w:val="0"/>
                <w:sz w:val="18"/>
              </w:rPr>
              <w:t>Priya Castellane on 14 October 2026</w:t>
            </w:r>
          </w:p>
        </w:tc>
      </w:tr>
      <w:tr>
        <w:tc>
          <w:tcPr>
            <w:tcW w:type="dxa" w:w="2381"/>
          </w:tcPr>
          <w:p>
            <w:r>
              <w:rPr>
                <w:b/>
                <w:i w:val="0"/>
                <w:sz w:val="18"/>
              </w:rPr>
              <w:t>Intake answers</w:t>
            </w:r>
          </w:p>
        </w:tc>
        <w:tc>
          <w:tcPr>
            <w:tcW w:type="dxa" w:w="6917"/>
          </w:tcPr>
          <w:p>
            <w:r>
              <w:rPr>
                <w:b w:val="0"/>
                <w:i w:val="0"/>
                <w:sz w:val="18"/>
              </w:rPr>
              <w:t>20+ redundancies at one establishment within 90 days: no; Longest current service (months): 19; Redundancies proposed: no</w:t>
            </w:r>
          </w:p>
        </w:tc>
      </w:tr>
      <w:tr>
        <w:tc>
          <w:tcPr>
            <w:tcW w:type="dxa" w:w="2381"/>
          </w:tcPr>
          <w:p>
            <w:r>
              <w:rPr>
                <w:b/>
                <w:i w:val="0"/>
                <w:sz w:val="18"/>
              </w:rPr>
              <w:t>Documents</w:t>
            </w:r>
          </w:p>
        </w:tc>
        <w:tc>
          <w:tcPr>
            <w:tcW w:type="dxa" w:w="6917"/>
          </w:tcPr>
          <w:p>
            <w:r>
              <w:rPr>
                <w:b w:val="0"/>
                <w:i w:val="0"/>
                <w:sz w:val="18"/>
              </w:rPr>
              <w:t>Hollowmere-Annual-Leave-Records-2026.docx (SHA-256 92a249d2f4be); Hollowmere-Contract-Template.docx (SHA-256 d50bd5a30ee4); Hollowmere-Employee-Handbook.docx (SHA-256 dbcd7ce4fb72); Hollowmere-Payslip-Template.docx (SHA-256 98e4bfaed18d)</w:t>
            </w:r>
          </w:p>
        </w:tc>
      </w:tr>
      <w:tr>
        <w:tc>
          <w:tcPr>
            <w:tcW w:type="dxa" w:w="2381"/>
          </w:tcPr>
          <w:p>
            <w:r>
              <w:rPr>
                <w:b/>
                <w:i w:val="0"/>
                <w:sz w:val="18"/>
              </w:rPr>
              <w:t>Engine</w:t>
            </w:r>
          </w:p>
        </w:tc>
        <w:tc>
          <w:tcPr>
            <w:tcW w:type="dxa" w:w="6917"/>
          </w:tcPr>
          <w:p>
            <w:r>
              <w:rPr>
                <w:b w:val="0"/>
                <w:i w:val="0"/>
                <w:sz w:val="18"/>
              </w:rPr>
              <w:t>replay:anthropic claude-sonnet-4-6; rule set f785fd9dbcaf0ee3</w:t>
            </w:r>
          </w:p>
        </w:tc>
      </w:tr>
    </w:tbl>
    <w:p>
      <w:pPr>
        <w:spacing w:after="160"/>
      </w:pPr>
    </w:p>
    <w:p>
      <w:pPr>
        <w:spacing w:after="120"/>
      </w:pPr>
      <w:r>
        <w:rPr>
          <w:b w:val="0"/>
          <w:i w:val="0"/>
          <w:sz w:val="19"/>
        </w:rPr>
        <w:t>Each obligation was classified against the client's documents by the engine. Every quotation of legislation was then checked word for word against the statutory text held for that provision, and every client excerpt against the extracted text of the named document. A classification whose quotation failed this check was discarded; the obligation was then shown as Unclear with the statutory text, for manual review.</w:t>
      </w:r>
    </w:p>
    <w:p>
      <w:pPr>
        <w:spacing w:after="120"/>
      </w:pPr>
      <w:r>
        <w:rPr>
          <w:b w:val="0"/>
          <w:i w:val="0"/>
          <w:sz w:val="19"/>
        </w:rPr>
        <w:t>Legislation is quoted from the consolidated text on legislation.gov.uk where it reflects the amendment. Where it does not yet, the amending provision is quoted with a one-line statement of its effect.</w:t>
      </w:r>
    </w:p>
    <w:p>
      <w:pPr>
        <w:spacing w:after="120"/>
      </w:pPr>
      <w:r>
        <w:rPr>
          <w:b w:val="0"/>
          <w:i w:val="0"/>
          <w:sz w:val="19"/>
        </w:rPr>
        <w:t>The adviser reviewed every finding. Findings the adviser rejected are omitted. Content the adviser changed is marked as such beside the finding.</w:t>
      </w:r>
    </w:p>
    <w:p>
      <w:pPr>
        <w:spacing w:after="120"/>
      </w:pPr>
      <w:r>
        <w:rPr>
          <w:b w:val="0"/>
          <w:i w:val="0"/>
          <w:sz w:val="19"/>
        </w:rPr>
        <w:t>The assessment covers only the obligations listed, on the assessment date, against the documents listed. It does not assess how the client operates in practice.</w:t>
      </w:r>
    </w:p>
    <w:sectPr w:rsidR="00FC693F" w:rsidRPr="0006063C" w:rsidSect="00034616">
      <w:footerReference w:type="first" r:id="rId9"/>
      <w:headerReference w:type="default" r:id="rId10"/>
      <w:footerReference w:type="default" r:id="rId11"/>
      <w:pgSz w:w="11906" w:h="16838"/>
      <w:pgMar w:top="1134" w:right="1247" w:bottom="1134" w:left="1247"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val="0"/>
        <w:color w:val="6B6358"/>
        <w:sz w:val="16"/>
      </w:rPr>
      <w:t>Reviewed by Priya Castellane  ·  Wrenfield Employment Advisory (fictional)</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val="0"/>
        <w:color w:val="6B6358"/>
        <w:sz w:val="16"/>
      </w:rPr>
      <w:t xml:space="preserve">Reviewed by Priya Castellane  ·  Wrenfield Employment Advisory (fictional)  ·  Page </w:t>
    </w:r>
    <w:r>
      <w:fldChar w:fldCharType="begin"/>
    </w:r>
    <w:r>
      <w:instrText xml:space="preserve">PAGE</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D9D2C5"/>
      </w:pBdr>
    </w:pPr>
    <w:r>
      <w:drawing>
        <wp:inline xmlns:a="http://schemas.openxmlformats.org/drawingml/2006/main" xmlns:pic="http://schemas.openxmlformats.org/drawingml/2006/picture">
          <wp:extent cx="324000" cy="324000"/>
          <wp:docPr id="1" name="Picture 1"/>
          <wp:cNvGraphicFramePr>
            <a:graphicFrameLocks noChangeAspect="1"/>
          </wp:cNvGraphicFramePr>
          <a:graphic>
            <a:graphicData uri="http://schemas.openxmlformats.org/drawingml/2006/picture">
              <pic:pic>
                <pic:nvPicPr>
                  <pic:cNvPr id="0" name="wrenfield-logo.png"/>
                  <pic:cNvPicPr/>
                </pic:nvPicPr>
                <pic:blipFill>
                  <a:blip r:embed="rId1"/>
                  <a:stretch>
                    <a:fillRect/>
                  </a:stretch>
                </pic:blipFill>
                <pic:spPr>
                  <a:xfrm>
                    <a:off x="0" y="0"/>
                    <a:ext cx="324000" cy="324000"/>
                  </a:xfrm>
                  <a:prstGeom prst="rect"/>
                </pic:spPr>
              </pic:pic>
            </a:graphicData>
          </a:graphic>
        </wp:inline>
      </w:drawing>
    </w:r>
    <w:r>
      <w:t xml:space="preserve">   </w:t>
    </w:r>
    <w:r>
      <w:rPr>
        <w:b/>
        <w:i w:val="0"/>
        <w:color w:val="7A1F2B"/>
        <w:sz w:val="19"/>
      </w:rPr>
      <w:t>Wrenfield Employment Advisory (fictional)</w:t>
    </w:r>
    <w:r>
      <w:rPr>
        <w:b w:val="0"/>
        <w:i w:val="0"/>
        <w:color w:val="6B6358"/>
        <w:sz w:val="18"/>
      </w:rPr>
      <w:t xml:space="preserve">   ·   Hollowmere Coffee Roasters Ltd (fictional)</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F1B16"/>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7A1F2B"/>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7A1F2B"/>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7A1F2B"/>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 Id="rId11" Type="http://schemas.openxmlformats.org/officeDocument/2006/relationships/footer" Target="footer2.xml"/><Relationship Id="rId12"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Employment law gap analysis: Hollowmere Coffee Roasters Ltd (fictional)</dc:title>
  <dc:subject/>
  <dc:creator>Priya Castellane</dc:creator>
  <cp:keywords/>
  <dc:description>Reviewed by Priya Castellane, Wrenfield Employment Advisory (fictional)</dc:description>
  <cp:lastModifiedBy/>
  <cp:revision>1</cp:revision>
  <dcterms:created xsi:type="dcterms:W3CDTF">2013-12-23T23:15:00Z</dcterms:created>
  <dcterms:modified xsi:type="dcterms:W3CDTF">2013-12-23T23:15:00Z</dcterms:modified>
  <cp:category/>
</cp:coreProperties>
</file>